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DD9B" w14:textId="072ACF98" w:rsidR="004B19E1" w:rsidRPr="004B19E1" w:rsidRDefault="007B0EA8" w:rsidP="004B19E1">
      <w:pPr>
        <w:spacing w:line="240" w:lineRule="auto"/>
      </w:pPr>
      <w:r>
        <w:rPr>
          <w:noProof/>
        </w:rPr>
        <w:drawing>
          <wp:inline distT="0" distB="0" distL="0" distR="0" wp14:anchorId="02D5D5EA" wp14:editId="1D757939">
            <wp:extent cx="1288800" cy="1282941"/>
            <wp:effectExtent l="0" t="0" r="6985" b="0"/>
            <wp:docPr id="14" name="Picture 14" descr="Budge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udge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800" cy="1282941"/>
                    </a:xfrm>
                    <a:prstGeom prst="rect">
                      <a:avLst/>
                    </a:prstGeom>
                  </pic:spPr>
                </pic:pic>
              </a:graphicData>
            </a:graphic>
          </wp:inline>
        </w:drawing>
      </w:r>
    </w:p>
    <w:p w14:paraId="21D45176" w14:textId="77777777" w:rsidR="004B19E1" w:rsidRPr="004B19E1" w:rsidRDefault="004B19E1" w:rsidP="004B19E1">
      <w:pPr>
        <w:spacing w:after="720" w:line="240" w:lineRule="auto"/>
      </w:pPr>
    </w:p>
    <w:p w14:paraId="6945E0A6" w14:textId="77777777" w:rsidR="004B19E1" w:rsidRPr="004B19E1" w:rsidRDefault="004B19E1" w:rsidP="004B19E1">
      <w:pPr>
        <w:keepNext/>
        <w:spacing w:before="0" w:after="0" w:line="240" w:lineRule="auto"/>
        <w:rPr>
          <w:rFonts w:ascii="Arial" w:hAnsi="Arial" w:cs="Arial"/>
          <w:b/>
          <w:bCs/>
          <w:sz w:val="28"/>
          <w:szCs w:val="28"/>
        </w:rPr>
      </w:pPr>
      <w:r w:rsidRPr="004B19E1">
        <w:rPr>
          <w:rFonts w:ascii="Arial" w:hAnsi="Arial" w:cs="Arial"/>
          <w:b/>
          <w:bCs/>
          <w:sz w:val="28"/>
          <w:szCs w:val="28"/>
        </w:rPr>
        <w:t>FINAL BUDGET OUTCOME</w:t>
      </w:r>
    </w:p>
    <w:p w14:paraId="38C836C4" w14:textId="29CC1FE0" w:rsidR="004B19E1" w:rsidRPr="004B19E1" w:rsidRDefault="004B19E1" w:rsidP="004B19E1">
      <w:pPr>
        <w:keepNext/>
        <w:spacing w:before="0" w:after="0" w:line="240" w:lineRule="auto"/>
        <w:rPr>
          <w:rFonts w:ascii="Arial" w:hAnsi="Arial" w:cs="Arial"/>
          <w:sz w:val="28"/>
          <w:szCs w:val="28"/>
        </w:rPr>
      </w:pPr>
      <w:r w:rsidRPr="004B19E1">
        <w:rPr>
          <w:rFonts w:ascii="Arial" w:hAnsi="Arial" w:cs="Arial"/>
          <w:sz w:val="28"/>
          <w:szCs w:val="28"/>
        </w:rPr>
        <w:t>202</w:t>
      </w:r>
      <w:r w:rsidR="007B0EA8">
        <w:rPr>
          <w:rFonts w:ascii="Arial" w:hAnsi="Arial" w:cs="Arial"/>
          <w:sz w:val="28"/>
          <w:szCs w:val="28"/>
        </w:rPr>
        <w:t>3</w:t>
      </w:r>
      <w:r w:rsidRPr="004B19E1">
        <w:rPr>
          <w:rFonts w:ascii="Arial" w:hAnsi="Arial" w:cs="Arial"/>
          <w:sz w:val="28"/>
          <w:szCs w:val="28"/>
        </w:rPr>
        <w:t>–2</w:t>
      </w:r>
      <w:r w:rsidR="007B0EA8">
        <w:rPr>
          <w:rFonts w:ascii="Arial" w:hAnsi="Arial" w:cs="Arial"/>
          <w:sz w:val="28"/>
          <w:szCs w:val="28"/>
        </w:rPr>
        <w:t>4</w:t>
      </w:r>
    </w:p>
    <w:p w14:paraId="73E9DDB5" w14:textId="77777777" w:rsidR="004B19E1" w:rsidRPr="004B19E1" w:rsidRDefault="004B19E1" w:rsidP="004B19E1">
      <w:pPr>
        <w:spacing w:before="3000" w:after="120" w:line="240" w:lineRule="auto"/>
        <w:rPr>
          <w:rFonts w:ascii="Arial" w:hAnsi="Arial" w:cs="Arial"/>
        </w:rPr>
      </w:pPr>
    </w:p>
    <w:p w14:paraId="6DEB6728" w14:textId="77777777" w:rsidR="004B19E1" w:rsidRPr="004B19E1" w:rsidRDefault="004B19E1" w:rsidP="004B19E1">
      <w:pPr>
        <w:keepNext/>
        <w:spacing w:before="120" w:after="120" w:line="240" w:lineRule="auto"/>
        <w:rPr>
          <w:rFonts w:ascii="Arial" w:hAnsi="Arial" w:cs="Arial"/>
          <w:sz w:val="20"/>
        </w:rPr>
      </w:pPr>
      <w:r w:rsidRPr="004B19E1">
        <w:rPr>
          <w:rFonts w:ascii="Arial" w:hAnsi="Arial" w:cs="Arial"/>
          <w:sz w:val="20"/>
        </w:rPr>
        <w:t>Statement by</w:t>
      </w:r>
    </w:p>
    <w:p w14:paraId="7AE153DA" w14:textId="77777777" w:rsidR="004B19E1" w:rsidRPr="004B19E1" w:rsidRDefault="004B19E1" w:rsidP="004B19E1">
      <w:pPr>
        <w:keepNext/>
        <w:spacing w:before="120" w:after="0" w:line="240" w:lineRule="auto"/>
        <w:rPr>
          <w:rFonts w:ascii="Arial" w:hAnsi="Arial" w:cs="Arial"/>
          <w:b/>
          <w:bCs/>
          <w:sz w:val="20"/>
        </w:rPr>
      </w:pPr>
      <w:r w:rsidRPr="004B19E1">
        <w:rPr>
          <w:rFonts w:ascii="Arial" w:hAnsi="Arial" w:cs="Arial"/>
          <w:b/>
          <w:bCs/>
          <w:sz w:val="20"/>
        </w:rPr>
        <w:t>The Honourable Jim Chalmers</w:t>
      </w:r>
      <w:r w:rsidRPr="004B19E1">
        <w:rPr>
          <w:rFonts w:ascii="Arial" w:hAnsi="Arial"/>
          <w:b/>
          <w:bCs/>
          <w:sz w:val="20"/>
        </w:rPr>
        <w:t xml:space="preserve"> </w:t>
      </w:r>
      <w:r w:rsidRPr="004B19E1">
        <w:rPr>
          <w:rFonts w:ascii="Arial" w:hAnsi="Arial" w:cs="Arial"/>
          <w:b/>
          <w:bCs/>
          <w:sz w:val="20"/>
        </w:rPr>
        <w:t>MP</w:t>
      </w:r>
    </w:p>
    <w:p w14:paraId="315AC8CF" w14:textId="77777777" w:rsidR="004B19E1" w:rsidRPr="004B19E1" w:rsidRDefault="004B19E1" w:rsidP="004B19E1">
      <w:pPr>
        <w:keepNext/>
        <w:spacing w:before="0" w:after="120" w:line="240" w:lineRule="auto"/>
        <w:rPr>
          <w:rFonts w:ascii="Arial" w:hAnsi="Arial" w:cs="Arial"/>
          <w:sz w:val="20"/>
        </w:rPr>
      </w:pPr>
      <w:r w:rsidRPr="004B19E1">
        <w:rPr>
          <w:rFonts w:ascii="Arial" w:hAnsi="Arial" w:cs="Arial"/>
          <w:sz w:val="20"/>
        </w:rPr>
        <w:t>Treasurer of the Commonwealth of Australia</w:t>
      </w:r>
    </w:p>
    <w:p w14:paraId="02D6755C" w14:textId="77777777" w:rsidR="004B19E1" w:rsidRPr="004B19E1" w:rsidRDefault="004B19E1" w:rsidP="004B19E1">
      <w:pPr>
        <w:keepNext/>
        <w:spacing w:before="120" w:after="120" w:line="240" w:lineRule="auto"/>
        <w:rPr>
          <w:rFonts w:ascii="Arial" w:hAnsi="Arial" w:cs="Arial"/>
          <w:sz w:val="20"/>
        </w:rPr>
      </w:pPr>
      <w:r w:rsidRPr="004B19E1">
        <w:rPr>
          <w:rFonts w:ascii="Arial" w:hAnsi="Arial" w:cs="Arial"/>
          <w:sz w:val="20"/>
        </w:rPr>
        <w:t>and</w:t>
      </w:r>
    </w:p>
    <w:p w14:paraId="7860FAD3" w14:textId="77777777" w:rsidR="004B19E1" w:rsidRPr="004B19E1" w:rsidRDefault="004B19E1" w:rsidP="004B19E1">
      <w:pPr>
        <w:keepNext/>
        <w:spacing w:before="120" w:after="0" w:line="240" w:lineRule="auto"/>
        <w:rPr>
          <w:rFonts w:ascii="Arial" w:hAnsi="Arial" w:cs="Arial"/>
          <w:b/>
          <w:bCs/>
          <w:sz w:val="20"/>
        </w:rPr>
      </w:pPr>
      <w:r w:rsidRPr="004B19E1">
        <w:rPr>
          <w:rFonts w:ascii="Arial" w:hAnsi="Arial" w:cs="Arial"/>
          <w:b/>
          <w:bCs/>
          <w:sz w:val="20"/>
        </w:rPr>
        <w:t>Senator the Honourable Katy Gallagher</w:t>
      </w:r>
    </w:p>
    <w:p w14:paraId="3B835788" w14:textId="3C5D7FFC" w:rsidR="004B19E1" w:rsidRPr="004B19E1" w:rsidRDefault="004B19E1" w:rsidP="004B19E1">
      <w:pPr>
        <w:keepNext/>
        <w:spacing w:before="0" w:after="120" w:line="240" w:lineRule="auto"/>
        <w:rPr>
          <w:rFonts w:ascii="Arial" w:hAnsi="Arial" w:cs="Arial"/>
          <w:sz w:val="20"/>
        </w:rPr>
      </w:pPr>
      <w:r w:rsidRPr="004B19E1">
        <w:rPr>
          <w:rFonts w:ascii="Arial" w:hAnsi="Arial" w:cs="Arial"/>
          <w:sz w:val="20"/>
        </w:rPr>
        <w:t>Minister for Finance</w:t>
      </w:r>
      <w:r w:rsidR="00845849">
        <w:rPr>
          <w:rFonts w:ascii="Arial" w:hAnsi="Arial" w:cs="Arial"/>
          <w:sz w:val="20"/>
        </w:rPr>
        <w:t xml:space="preserve">, Minister for Women, </w:t>
      </w:r>
      <w:r w:rsidR="00720BAB">
        <w:rPr>
          <w:rFonts w:ascii="Arial" w:hAnsi="Arial" w:cs="Arial"/>
          <w:sz w:val="20"/>
        </w:rPr>
        <w:br/>
      </w:r>
      <w:r w:rsidR="00845849">
        <w:rPr>
          <w:rFonts w:ascii="Arial" w:hAnsi="Arial" w:cs="Arial"/>
          <w:sz w:val="20"/>
        </w:rPr>
        <w:t>Minister</w:t>
      </w:r>
      <w:r w:rsidR="003B72AF">
        <w:rPr>
          <w:rFonts w:ascii="Arial" w:hAnsi="Arial" w:cs="Arial"/>
          <w:sz w:val="20"/>
        </w:rPr>
        <w:t xml:space="preserve"> for the Public Service</w:t>
      </w:r>
      <w:r w:rsidRPr="004B19E1">
        <w:rPr>
          <w:rFonts w:ascii="Arial" w:hAnsi="Arial" w:cs="Arial"/>
          <w:sz w:val="20"/>
        </w:rPr>
        <w:t xml:space="preserve"> of the Commonwealth of Australia</w:t>
      </w:r>
    </w:p>
    <w:p w14:paraId="38C1D5F2" w14:textId="77777777" w:rsidR="004B19E1" w:rsidRPr="004B19E1" w:rsidRDefault="004B19E1" w:rsidP="004B19E1">
      <w:pPr>
        <w:keepNext/>
        <w:spacing w:before="0" w:after="0" w:line="240" w:lineRule="auto"/>
        <w:rPr>
          <w:rFonts w:ascii="Arial" w:hAnsi="Arial" w:cs="Arial"/>
          <w:sz w:val="20"/>
        </w:rPr>
      </w:pPr>
    </w:p>
    <w:p w14:paraId="7F398113" w14:textId="77777777" w:rsidR="004B19E1" w:rsidRPr="004B19E1" w:rsidRDefault="004B19E1" w:rsidP="004B19E1">
      <w:pPr>
        <w:keepNext/>
        <w:spacing w:before="0" w:after="120" w:line="240" w:lineRule="auto"/>
        <w:rPr>
          <w:rFonts w:ascii="Arial" w:hAnsi="Arial" w:cs="Arial"/>
          <w:sz w:val="20"/>
        </w:rPr>
      </w:pPr>
      <w:r w:rsidRPr="004B19E1">
        <w:rPr>
          <w:rFonts w:ascii="Arial" w:hAnsi="Arial" w:cs="Arial"/>
          <w:sz w:val="20"/>
        </w:rPr>
        <w:t>For the information of honourable members</w:t>
      </w:r>
    </w:p>
    <w:p w14:paraId="5C199FC6" w14:textId="00830D9E" w:rsidR="004B19E1" w:rsidRPr="004B19E1" w:rsidRDefault="004B19E1" w:rsidP="004B19E1">
      <w:pPr>
        <w:autoSpaceDE w:val="0"/>
        <w:autoSpaceDN w:val="0"/>
        <w:adjustRightInd w:val="0"/>
        <w:spacing w:before="120" w:after="120" w:line="240" w:lineRule="auto"/>
        <w:rPr>
          <w:rFonts w:ascii="Work Sans Light" w:hAnsi="Work Sans Light"/>
          <w:sz w:val="22"/>
          <w:szCs w:val="22"/>
        </w:rPr>
      </w:pPr>
      <w:r w:rsidRPr="004B19E1">
        <w:rPr>
          <w:rFonts w:ascii="Arial" w:hAnsi="Arial" w:cs="Arial"/>
          <w:b/>
          <w:bCs/>
          <w:spacing w:val="-10"/>
          <w:sz w:val="20"/>
        </w:rPr>
        <w:t>September 202</w:t>
      </w:r>
      <w:r w:rsidR="007B0EA8">
        <w:rPr>
          <w:rFonts w:ascii="Arial" w:hAnsi="Arial" w:cs="Arial"/>
          <w:b/>
          <w:bCs/>
          <w:spacing w:val="-10"/>
          <w:sz w:val="20"/>
        </w:rPr>
        <w:t>4</w:t>
      </w:r>
    </w:p>
    <w:p w14:paraId="00E166AB" w14:textId="622C656B" w:rsidR="005F33B6" w:rsidRDefault="005F33B6">
      <w:pPr>
        <w:spacing w:after="160" w:line="259" w:lineRule="auto"/>
      </w:pPr>
      <w:r>
        <w:br w:type="page"/>
      </w:r>
    </w:p>
    <w:p w14:paraId="52BA5ED9" w14:textId="77777777" w:rsidR="007B0EA8" w:rsidRPr="007B0EA8" w:rsidRDefault="007B0EA8" w:rsidP="007B0EA8">
      <w:pPr>
        <w:pStyle w:val="CreativeCommons"/>
      </w:pPr>
      <w:r w:rsidRPr="007B0EA8">
        <w:lastRenderedPageBreak/>
        <w:t>© Commonwealth of Australia 2024</w:t>
      </w:r>
    </w:p>
    <w:p w14:paraId="52D59BE6" w14:textId="2F439505" w:rsidR="007B0EA8" w:rsidRPr="007B0EA8" w:rsidRDefault="007B0EA8" w:rsidP="007B0EA8">
      <w:pPr>
        <w:pStyle w:val="CreativeCommons"/>
      </w:pPr>
      <w:r w:rsidRPr="007B0EA8">
        <w:t xml:space="preserve">ISSN </w:t>
      </w:r>
      <w:r w:rsidR="000203E3" w:rsidRPr="000203E3">
        <w:t>2205</w:t>
      </w:r>
      <w:r w:rsidR="00A40A90">
        <w:noBreakHyphen/>
      </w:r>
      <w:r w:rsidR="000203E3" w:rsidRPr="000203E3">
        <w:t>6750</w:t>
      </w:r>
      <w:r w:rsidRPr="007B0EA8">
        <w:t xml:space="preserve"> (print); </w:t>
      </w:r>
      <w:r w:rsidR="00F1588B" w:rsidRPr="00F1588B">
        <w:t>2205</w:t>
      </w:r>
      <w:r w:rsidR="00A40A90">
        <w:noBreakHyphen/>
      </w:r>
      <w:r w:rsidR="00F1588B" w:rsidRPr="00F1588B">
        <w:t>6769</w:t>
      </w:r>
      <w:r w:rsidRPr="007B0EA8">
        <w:t xml:space="preserve"> (online)</w:t>
      </w:r>
    </w:p>
    <w:p w14:paraId="67CAA410" w14:textId="1BB320AF" w:rsidR="007B0EA8" w:rsidRPr="007B0EA8" w:rsidRDefault="007B0EA8" w:rsidP="007B0EA8">
      <w:pPr>
        <w:pStyle w:val="CreativeCommons"/>
      </w:pPr>
      <w:r w:rsidRPr="007B0EA8">
        <w:t xml:space="preserve">This publication is available for your use under a </w:t>
      </w:r>
      <w:hyperlink r:id="rId12" w:history="1">
        <w:r w:rsidRPr="007B0EA8">
          <w:t>Creative Commons Attribution 4.0 International</w:t>
        </w:r>
      </w:hyperlink>
      <w:r w:rsidRPr="007B0EA8">
        <w:t xml:space="preserve"> licence, with the exception of the Commonwealth Coat of Arms, third</w:t>
      </w:r>
      <w:r w:rsidR="00A40A90">
        <w:noBreakHyphen/>
      </w:r>
      <w:r w:rsidRPr="007B0EA8">
        <w:t xml:space="preserve">party content and where otherwise stated. The full licence terms are available from </w:t>
      </w:r>
      <w:hyperlink r:id="rId13" w:history="1">
        <w:r w:rsidRPr="007B0EA8">
          <w:rPr>
            <w:rStyle w:val="Hyperlink"/>
            <w:color w:val="000000"/>
          </w:rPr>
          <w:t>http://creativecommons.org/licenses/by/4.0/legalcode</w:t>
        </w:r>
      </w:hyperlink>
      <w:r w:rsidRPr="007B0EA8">
        <w:t>.</w:t>
      </w:r>
    </w:p>
    <w:p w14:paraId="6404EE06" w14:textId="77777777" w:rsidR="007B0EA8" w:rsidRPr="003F7F1E" w:rsidRDefault="007B0EA8" w:rsidP="007B0EA8">
      <w:pPr>
        <w:spacing w:before="120" w:after="120" w:line="240" w:lineRule="auto"/>
        <w:ind w:right="-113"/>
      </w:pPr>
      <w:r w:rsidRPr="003F7F1E">
        <w:rPr>
          <w:noProof/>
        </w:rPr>
        <w:drawing>
          <wp:inline distT="0" distB="0" distL="0" distR="0" wp14:anchorId="304EB531" wp14:editId="5689EE11">
            <wp:extent cx="887095" cy="307340"/>
            <wp:effectExtent l="0" t="0" r="8255"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2C2C51D2" w14:textId="77777777" w:rsidR="007B0EA8" w:rsidRPr="003F7F1E" w:rsidRDefault="007B0EA8" w:rsidP="007B0EA8">
      <w:pPr>
        <w:pStyle w:val="CreativeCommons"/>
      </w:pPr>
      <w:r w:rsidRPr="003F7F1E">
        <w:t xml:space="preserve">Use of Commonwealth of Australia material </w:t>
      </w:r>
      <w:r w:rsidRPr="00702A74">
        <w:t xml:space="preserve">under </w:t>
      </w:r>
      <w:hyperlink r:id="rId15" w:history="1">
        <w:r w:rsidRPr="00C472EA">
          <w:t>Creative Commons Attribution 4.0 International</w:t>
        </w:r>
      </w:hyperlink>
      <w:r w:rsidRPr="00C472EA">
        <w:t xml:space="preserve"> </w:t>
      </w:r>
      <w:r w:rsidRPr="003F7F1E">
        <w:t>licence requires you to attribute the work (but not in any way that suggests that the Commonwealth of Australia endorses you or your use of the work).</w:t>
      </w:r>
    </w:p>
    <w:p w14:paraId="3B4B9F82" w14:textId="3F13E607" w:rsidR="007B0EA8" w:rsidRPr="00D5320C" w:rsidRDefault="007B0EA8" w:rsidP="00D5320C">
      <w:pPr>
        <w:pStyle w:val="CreativeCommonsH1"/>
      </w:pPr>
      <w:r w:rsidRPr="00D5320C">
        <w:t xml:space="preserve">Commonwealth of Australia material used </w:t>
      </w:r>
      <w:r w:rsidR="00A40A90">
        <w:t>‘</w:t>
      </w:r>
      <w:r w:rsidRPr="00D5320C">
        <w:t>as supplied</w:t>
      </w:r>
      <w:r w:rsidR="00A40A90">
        <w:t>’</w:t>
      </w:r>
      <w:r w:rsidRPr="00D5320C">
        <w:t>.</w:t>
      </w:r>
    </w:p>
    <w:p w14:paraId="5F331D3C" w14:textId="77777777" w:rsidR="007B0EA8" w:rsidRPr="007B0EA8" w:rsidRDefault="007B0EA8" w:rsidP="007B0EA8">
      <w:pPr>
        <w:pStyle w:val="CreativeCommons"/>
        <w:rPr>
          <w:spacing w:val="-2"/>
        </w:rPr>
      </w:pPr>
      <w:r w:rsidRPr="007B0E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46F56CED" w14:textId="77777777" w:rsidR="007B0EA8" w:rsidRPr="003F7F1E" w:rsidRDefault="007B0EA8" w:rsidP="007B0EA8">
      <w:pPr>
        <w:pStyle w:val="CreativeCommons"/>
        <w:ind w:left="720"/>
      </w:pPr>
      <w:r w:rsidRPr="003F7F1E">
        <w:t>Source:</w:t>
      </w:r>
      <w:r w:rsidRPr="007B0EA8">
        <w:rPr>
          <w:i/>
          <w:iCs/>
        </w:rPr>
        <w:t xml:space="preserve"> </w:t>
      </w:r>
      <w:r w:rsidRPr="00CF1836">
        <w:rPr>
          <w:rStyle w:val="Emphasis"/>
        </w:rPr>
        <w:t>The Commonwealth of Australia</w:t>
      </w:r>
      <w:r w:rsidRPr="007B0EA8">
        <w:rPr>
          <w:i/>
          <w:iCs/>
        </w:rPr>
        <w:t>.</w:t>
      </w:r>
    </w:p>
    <w:p w14:paraId="506089AD" w14:textId="77777777" w:rsidR="007B0EA8" w:rsidRPr="00D5320C" w:rsidRDefault="007B0EA8" w:rsidP="00D5320C">
      <w:pPr>
        <w:pStyle w:val="CreativeCommonsH1"/>
      </w:pPr>
      <w:r w:rsidRPr="00D5320C">
        <w:t>Derivative material</w:t>
      </w:r>
    </w:p>
    <w:p w14:paraId="228E99ED" w14:textId="77777777" w:rsidR="007B0EA8" w:rsidRPr="003F7F1E" w:rsidRDefault="007B0EA8" w:rsidP="00D5320C">
      <w:pPr>
        <w:pStyle w:val="CreativeCommons"/>
      </w:pPr>
      <w:r w:rsidRPr="003F7F1E">
        <w:t>If you have modified or transformed Commonwealth of Australia material, or derived new material from those of the Commonwealth of Australia in any way, then the Commonwealth of Australia prefers the following attribution:</w:t>
      </w:r>
    </w:p>
    <w:p w14:paraId="53B3D809" w14:textId="77777777" w:rsidR="007B0EA8" w:rsidRPr="00D5320C" w:rsidRDefault="007B0EA8" w:rsidP="00D5320C">
      <w:pPr>
        <w:pStyle w:val="CreativeCommons"/>
        <w:ind w:left="720"/>
        <w:rPr>
          <w:i/>
          <w:iCs/>
        </w:rPr>
      </w:pPr>
      <w:r w:rsidRPr="00CF1836">
        <w:rPr>
          <w:rStyle w:val="Emphasis"/>
        </w:rPr>
        <w:t>Based on Commonwealth of Australia data</w:t>
      </w:r>
      <w:r w:rsidRPr="00D5320C">
        <w:rPr>
          <w:i/>
          <w:iCs/>
        </w:rPr>
        <w:t>.</w:t>
      </w:r>
    </w:p>
    <w:p w14:paraId="3573C14A" w14:textId="77777777" w:rsidR="007B0EA8" w:rsidRPr="00D5320C" w:rsidRDefault="007B0EA8" w:rsidP="00D5320C">
      <w:pPr>
        <w:pStyle w:val="CreativeCommonsH1"/>
      </w:pPr>
      <w:r w:rsidRPr="00D5320C">
        <w:t>Use of the Coat of Arms</w:t>
      </w:r>
    </w:p>
    <w:p w14:paraId="34CAFC90" w14:textId="42917049" w:rsidR="007B0EA8" w:rsidRPr="003F7F1E" w:rsidRDefault="007B0EA8" w:rsidP="00D5320C">
      <w:pPr>
        <w:pStyle w:val="CreativeCommons"/>
      </w:pPr>
      <w:r w:rsidRPr="003F7F1E">
        <w:t xml:space="preserve">The terms under which the Coat of Arms can be used are set out on </w:t>
      </w:r>
      <w:r w:rsidRPr="003F7F1E">
        <w:br/>
        <w:t xml:space="preserve">the Department of the Prime Minister and Cabinet website (see </w:t>
      </w:r>
      <w:hyperlink r:id="rId16" w:history="1">
        <w:r w:rsidRPr="008C3D82">
          <w:rPr>
            <w:rStyle w:val="Hyperlink"/>
          </w:rPr>
          <w:t>www.pmc.gov.au/</w:t>
        </w:r>
        <w:r w:rsidRPr="008C3D82">
          <w:rPr>
            <w:rStyle w:val="Hyperlink"/>
          </w:rPr>
          <w:br/>
          <w:t>honours</w:t>
        </w:r>
        <w:r w:rsidR="00A40A90">
          <w:rPr>
            <w:rStyle w:val="Hyperlink"/>
          </w:rPr>
          <w:noBreakHyphen/>
        </w:r>
        <w:r w:rsidRPr="008C3D82">
          <w:rPr>
            <w:rStyle w:val="Hyperlink"/>
          </w:rPr>
          <w:t>and</w:t>
        </w:r>
        <w:r w:rsidR="00A40A90">
          <w:rPr>
            <w:rStyle w:val="Hyperlink"/>
          </w:rPr>
          <w:noBreakHyphen/>
        </w:r>
        <w:r w:rsidRPr="008C3D82">
          <w:rPr>
            <w:rStyle w:val="Hyperlink"/>
          </w:rPr>
          <w:t>symbols/commonwealth</w:t>
        </w:r>
        <w:r w:rsidR="00A40A90">
          <w:rPr>
            <w:rStyle w:val="Hyperlink"/>
          </w:rPr>
          <w:noBreakHyphen/>
        </w:r>
        <w:r w:rsidRPr="008C3D82">
          <w:rPr>
            <w:rStyle w:val="Hyperlink"/>
          </w:rPr>
          <w:t>coat</w:t>
        </w:r>
        <w:r w:rsidR="00A40A90">
          <w:rPr>
            <w:rStyle w:val="Hyperlink"/>
          </w:rPr>
          <w:noBreakHyphen/>
        </w:r>
        <w:r w:rsidRPr="008C3D82">
          <w:rPr>
            <w:rStyle w:val="Hyperlink"/>
          </w:rPr>
          <w:t>arms</w:t>
        </w:r>
      </w:hyperlink>
      <w:r w:rsidRPr="003F7F1E">
        <w:rPr>
          <w:color w:val="000000" w:themeColor="text1"/>
        </w:rPr>
        <w:t>).</w:t>
      </w:r>
    </w:p>
    <w:p w14:paraId="6A48017E" w14:textId="77777777" w:rsidR="007B0EA8" w:rsidRPr="00D5320C" w:rsidRDefault="007B0EA8" w:rsidP="00D5320C">
      <w:pPr>
        <w:pStyle w:val="CreativeCommonsH1"/>
      </w:pPr>
      <w:r w:rsidRPr="00D5320C">
        <w:t>Other uses</w:t>
      </w:r>
    </w:p>
    <w:p w14:paraId="676E2F2A" w14:textId="77777777" w:rsidR="007B0EA8" w:rsidRPr="003F7F1E" w:rsidRDefault="007B0EA8" w:rsidP="00D5320C">
      <w:pPr>
        <w:pStyle w:val="CreativeCommons"/>
        <w:rPr>
          <w:i/>
        </w:rPr>
      </w:pPr>
      <w:r w:rsidRPr="003F7F1E">
        <w:t>Enquiries regarding this licence and any other use of this document are welcome at:</w:t>
      </w:r>
    </w:p>
    <w:p w14:paraId="091449C9" w14:textId="77777777" w:rsidR="007B0EA8" w:rsidRPr="003F7F1E" w:rsidRDefault="007B0EA8" w:rsidP="00D5320C">
      <w:pPr>
        <w:pStyle w:val="CreativeCommons"/>
        <w:ind w:left="720"/>
      </w:pPr>
      <w:r w:rsidRPr="003F7F1E">
        <w:t>Manager</w:t>
      </w:r>
      <w:r w:rsidRPr="003F7F1E">
        <w:br/>
        <w:t>Media Unit</w:t>
      </w:r>
      <w:r w:rsidRPr="003F7F1E">
        <w:br/>
        <w:t>The Treasury</w:t>
      </w:r>
      <w:r w:rsidRPr="003F7F1E">
        <w:br/>
        <w:t xml:space="preserve">Langton Crescent </w:t>
      </w:r>
      <w:r w:rsidRPr="003F7F1E">
        <w:br/>
        <w:t>Parkes  ACT  2600</w:t>
      </w:r>
      <w:r w:rsidRPr="003F7F1E">
        <w:br/>
        <w:t xml:space="preserve">Email: </w:t>
      </w:r>
      <w:hyperlink r:id="rId17" w:history="1">
        <w:r w:rsidRPr="003F7F1E">
          <w:rPr>
            <w:color w:val="000000" w:themeColor="text1"/>
            <w:u w:val="single"/>
          </w:rPr>
          <w:t>media@treasury.gov.au</w:t>
        </w:r>
      </w:hyperlink>
    </w:p>
    <w:p w14:paraId="6A5F4A3B" w14:textId="77777777" w:rsidR="007B0EA8" w:rsidRPr="00D5320C" w:rsidRDefault="007B0EA8" w:rsidP="00D5320C">
      <w:pPr>
        <w:pStyle w:val="CreativeCommonsH1"/>
      </w:pPr>
      <w:r w:rsidRPr="00D5320C">
        <w:t>Internet</w:t>
      </w:r>
    </w:p>
    <w:p w14:paraId="64AFABB3" w14:textId="77777777" w:rsidR="007B0EA8" w:rsidRPr="003F7F1E" w:rsidRDefault="007B0EA8" w:rsidP="00D5320C">
      <w:pPr>
        <w:pStyle w:val="CreativeCommons"/>
      </w:pPr>
      <w:r w:rsidRPr="003F7F1E">
        <w:t xml:space="preserve">A copy of this document is available on the central Budget website at: </w:t>
      </w:r>
      <w:hyperlink r:id="rId18" w:history="1">
        <w:r w:rsidRPr="006F3FA7">
          <w:rPr>
            <w:u w:val="single"/>
          </w:rPr>
          <w:t>www.budget.gov.au</w:t>
        </w:r>
      </w:hyperlink>
      <w:r w:rsidRPr="003C1E71">
        <w:t>.</w:t>
      </w:r>
    </w:p>
    <w:p w14:paraId="425ACBF1" w14:textId="77777777" w:rsidR="007B0EA8" w:rsidRDefault="007B0EA8" w:rsidP="00D5320C">
      <w:pPr>
        <w:pStyle w:val="CreativeCommons"/>
        <w:sectPr w:rsidR="007B0EA8" w:rsidSect="007B0EA8">
          <w:pgSz w:w="11906" w:h="16838" w:code="9"/>
          <w:pgMar w:top="2835" w:right="2098" w:bottom="2466" w:left="2098" w:header="1814" w:footer="1814" w:gutter="0"/>
          <w:cols w:space="708"/>
          <w:titlePg/>
          <w:docGrid w:linePitch="360"/>
        </w:sectPr>
      </w:pPr>
      <w:r w:rsidRPr="003F7F1E">
        <w:t>Printed by CanPrint Communications Pty Ltd</w:t>
      </w:r>
    </w:p>
    <w:p w14:paraId="68E5B8D4" w14:textId="1FA65E87" w:rsidR="00EF749B" w:rsidRPr="00F82317" w:rsidRDefault="00EF749B" w:rsidP="00250CF3">
      <w:pPr>
        <w:pStyle w:val="Heading3noTOC"/>
      </w:pPr>
      <w:r w:rsidRPr="00F82317">
        <w:lastRenderedPageBreak/>
        <w:t>Notes</w:t>
      </w:r>
    </w:p>
    <w:p w14:paraId="4FF09D5E" w14:textId="77777777" w:rsidR="00EF749B" w:rsidRPr="00F82317" w:rsidRDefault="00EF749B" w:rsidP="00EF749B">
      <w:pPr>
        <w:pStyle w:val="AlphaParagraph"/>
        <w:ind w:left="357" w:hanging="357"/>
      </w:pPr>
      <w:r w:rsidRPr="00F82317">
        <w:t>The following definitions are used in this Budget Paper:</w:t>
      </w:r>
    </w:p>
    <w:p w14:paraId="5CD1FEC1" w14:textId="0A339B37" w:rsidR="00EF749B" w:rsidRPr="00F82317" w:rsidRDefault="00A40A90" w:rsidP="00EF749B">
      <w:pPr>
        <w:pStyle w:val="Dash"/>
      </w:pPr>
      <w:r>
        <w:t>‘</w:t>
      </w:r>
      <w:r w:rsidR="00EF749B" w:rsidRPr="00F82317">
        <w:t>real</w:t>
      </w:r>
      <w:r>
        <w:t>’</w:t>
      </w:r>
      <w:r w:rsidR="00EF749B" w:rsidRPr="00F82317">
        <w:t xml:space="preserve"> means adjusted for the effect of inflation</w:t>
      </w:r>
    </w:p>
    <w:p w14:paraId="7F27299F" w14:textId="77777777" w:rsidR="00EF749B" w:rsidRPr="00F82317" w:rsidRDefault="00EF749B" w:rsidP="00EF749B">
      <w:pPr>
        <w:pStyle w:val="Dash"/>
      </w:pPr>
      <w:r w:rsidRPr="00F82317">
        <w:t>real growth in expenses and payments is calculated using the Consumer Price Index (CPI) as the deflator</w:t>
      </w:r>
    </w:p>
    <w:p w14:paraId="1C74AE1A" w14:textId="77777777" w:rsidR="00EF749B" w:rsidRPr="00F82317" w:rsidRDefault="00EF749B" w:rsidP="00EF749B">
      <w:pPr>
        <w:pStyle w:val="Dash"/>
      </w:pPr>
      <w:r w:rsidRPr="00F82317">
        <w:t>one billion is equal to one thousand million.</w:t>
      </w:r>
    </w:p>
    <w:p w14:paraId="4347E04E" w14:textId="77777777" w:rsidR="00EF749B" w:rsidRPr="00F82317" w:rsidRDefault="00EF749B" w:rsidP="00EF749B">
      <w:pPr>
        <w:pStyle w:val="AlphaParagraph"/>
        <w:ind w:left="357" w:hanging="357"/>
      </w:pPr>
      <w:r w:rsidRPr="00F82317">
        <w:t>Figures in tables and generally in the text have been rounded. Discrepancies in tables between totals and sums of components are due to rounding:</w:t>
      </w:r>
    </w:p>
    <w:p w14:paraId="3774E767" w14:textId="77777777" w:rsidR="00EF749B" w:rsidRPr="00F82317" w:rsidRDefault="00EF749B" w:rsidP="00EF749B">
      <w:pPr>
        <w:pStyle w:val="Dash"/>
      </w:pPr>
      <w:r w:rsidRPr="00F82317">
        <w:t>figures under $100,000 are rounded to the nearest thousand</w:t>
      </w:r>
    </w:p>
    <w:p w14:paraId="1ADE36CF" w14:textId="77777777" w:rsidR="00EF749B" w:rsidRPr="00F82317" w:rsidRDefault="00EF749B" w:rsidP="00EF749B">
      <w:pPr>
        <w:pStyle w:val="Dash"/>
      </w:pPr>
      <w:r w:rsidRPr="00F82317">
        <w:t>figures $100,000 and over are generally rounded to the nearest tenth of a million</w:t>
      </w:r>
    </w:p>
    <w:p w14:paraId="59E95540" w14:textId="77777777" w:rsidR="00EF749B" w:rsidRPr="00F82317" w:rsidRDefault="00EF749B" w:rsidP="00EF749B">
      <w:pPr>
        <w:pStyle w:val="Dash"/>
      </w:pPr>
      <w:r w:rsidRPr="00F82317">
        <w:t>figures midway between rounding points are rounded up</w:t>
      </w:r>
    </w:p>
    <w:p w14:paraId="67785EF9" w14:textId="77777777" w:rsidR="00EF749B" w:rsidRPr="00F82317" w:rsidRDefault="00EF749B" w:rsidP="00EF749B">
      <w:pPr>
        <w:pStyle w:val="Dash"/>
      </w:pPr>
      <w:r w:rsidRPr="00F82317">
        <w:t>the percentage changes in statistical tables are calculated using unrounded data.</w:t>
      </w:r>
    </w:p>
    <w:p w14:paraId="0FE077C9" w14:textId="77777777" w:rsidR="00EF749B" w:rsidRPr="00F82317" w:rsidRDefault="00EF749B" w:rsidP="00EF749B">
      <w:pPr>
        <w:pStyle w:val="AlphaParagraph"/>
        <w:ind w:left="357" w:hanging="357"/>
      </w:pPr>
      <w:r w:rsidRPr="00F82317">
        <w:tab/>
        <w:t>For the budget balance, a negative sign indicates a deficit while no sign indicates a surplus.</w:t>
      </w:r>
    </w:p>
    <w:p w14:paraId="31602121" w14:textId="77777777" w:rsidR="00EF749B" w:rsidRPr="00F82317" w:rsidRDefault="00EF749B" w:rsidP="00EF749B">
      <w:pPr>
        <w:pStyle w:val="AlphaParagraph"/>
        <w:ind w:left="357" w:hanging="357"/>
      </w:pPr>
      <w:r w:rsidRPr="00F82317">
        <w:tab/>
        <w:t>The following notations are used:</w:t>
      </w:r>
    </w:p>
    <w:tbl>
      <w:tblPr>
        <w:tblStyle w:val="TableGrid"/>
        <w:tblW w:w="73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3"/>
      </w:tblGrid>
      <w:tr w:rsidR="00EF749B" w:rsidRPr="00F82317" w14:paraId="4B5FCC34" w14:textId="77777777" w:rsidTr="000C62D4">
        <w:tc>
          <w:tcPr>
            <w:tcW w:w="1418" w:type="dxa"/>
          </w:tcPr>
          <w:p w14:paraId="4FE3B0ED" w14:textId="77777777" w:rsidR="00EF749B" w:rsidRPr="00F82317" w:rsidRDefault="00EF749B">
            <w:r w:rsidRPr="00F82317">
              <w:t xml:space="preserve"> </w:t>
            </w:r>
          </w:p>
        </w:tc>
        <w:tc>
          <w:tcPr>
            <w:tcW w:w="5953" w:type="dxa"/>
          </w:tcPr>
          <w:p w14:paraId="6D0747F1" w14:textId="77777777" w:rsidR="00EF749B" w:rsidRPr="00F82317" w:rsidRDefault="00EF749B">
            <w:r w:rsidRPr="00F82317">
              <w:t>nil</w:t>
            </w:r>
          </w:p>
        </w:tc>
      </w:tr>
      <w:tr w:rsidR="00EF749B" w:rsidRPr="00F82317" w14:paraId="13F005E6" w14:textId="77777777" w:rsidTr="000C62D4">
        <w:tc>
          <w:tcPr>
            <w:tcW w:w="1418" w:type="dxa"/>
          </w:tcPr>
          <w:p w14:paraId="3529D736" w14:textId="77777777" w:rsidR="00EF749B" w:rsidRPr="00F82317" w:rsidRDefault="00EF749B">
            <w:proofErr w:type="spellStart"/>
            <w:r w:rsidRPr="00F82317">
              <w:t>na</w:t>
            </w:r>
            <w:proofErr w:type="spellEnd"/>
          </w:p>
        </w:tc>
        <w:tc>
          <w:tcPr>
            <w:tcW w:w="5953" w:type="dxa"/>
          </w:tcPr>
          <w:p w14:paraId="2131F0CF" w14:textId="77777777" w:rsidR="00EF749B" w:rsidRPr="00F82317" w:rsidRDefault="00EF749B">
            <w:r w:rsidRPr="00F82317">
              <w:t>not applicable (unless otherwise specified)</w:t>
            </w:r>
          </w:p>
        </w:tc>
      </w:tr>
      <w:tr w:rsidR="00EF749B" w:rsidRPr="00F82317" w14:paraId="107D1E23" w14:textId="77777777" w:rsidTr="000C62D4">
        <w:tc>
          <w:tcPr>
            <w:tcW w:w="1418" w:type="dxa"/>
          </w:tcPr>
          <w:p w14:paraId="7A1F1414" w14:textId="77777777" w:rsidR="00EF749B" w:rsidRPr="00F82317" w:rsidRDefault="00EF749B">
            <w:r w:rsidRPr="00F82317">
              <w:t>..</w:t>
            </w:r>
          </w:p>
        </w:tc>
        <w:tc>
          <w:tcPr>
            <w:tcW w:w="5953" w:type="dxa"/>
          </w:tcPr>
          <w:p w14:paraId="15524711" w14:textId="77777777" w:rsidR="00EF749B" w:rsidRPr="00F82317" w:rsidRDefault="00EF749B">
            <w:r w:rsidRPr="00F82317">
              <w:t>not zero, but rounded to zero</w:t>
            </w:r>
          </w:p>
        </w:tc>
      </w:tr>
      <w:tr w:rsidR="00EF749B" w:rsidRPr="00F82317" w14:paraId="4E175D95" w14:textId="77777777" w:rsidTr="000C62D4">
        <w:tc>
          <w:tcPr>
            <w:tcW w:w="1418" w:type="dxa"/>
          </w:tcPr>
          <w:p w14:paraId="2AF9D8B7" w14:textId="77777777" w:rsidR="00EF749B" w:rsidRPr="00F82317" w:rsidRDefault="00EF749B">
            <w:r w:rsidRPr="00F82317">
              <w:t>$m</w:t>
            </w:r>
          </w:p>
        </w:tc>
        <w:tc>
          <w:tcPr>
            <w:tcW w:w="5953" w:type="dxa"/>
          </w:tcPr>
          <w:p w14:paraId="4DFBC091" w14:textId="77777777" w:rsidR="00EF749B" w:rsidRPr="00F82317" w:rsidRDefault="00EF749B">
            <w:r w:rsidRPr="00F82317">
              <w:t>millions of dollars</w:t>
            </w:r>
          </w:p>
        </w:tc>
      </w:tr>
      <w:tr w:rsidR="00EF749B" w:rsidRPr="00F82317" w14:paraId="7E86EADC" w14:textId="77777777" w:rsidTr="000C62D4">
        <w:tc>
          <w:tcPr>
            <w:tcW w:w="1418" w:type="dxa"/>
          </w:tcPr>
          <w:p w14:paraId="716DEDF9" w14:textId="77777777" w:rsidR="00EF749B" w:rsidRPr="00F82317" w:rsidRDefault="00EF749B">
            <w:r w:rsidRPr="00F82317">
              <w:t>$b</w:t>
            </w:r>
          </w:p>
        </w:tc>
        <w:tc>
          <w:tcPr>
            <w:tcW w:w="5953" w:type="dxa"/>
          </w:tcPr>
          <w:p w14:paraId="214F6949" w14:textId="77777777" w:rsidR="00EF749B" w:rsidRPr="00F82317" w:rsidRDefault="00EF749B">
            <w:r w:rsidRPr="00F82317">
              <w:t>billions of dollars</w:t>
            </w:r>
          </w:p>
        </w:tc>
      </w:tr>
      <w:tr w:rsidR="00EF749B" w:rsidRPr="00F82317" w14:paraId="0CC6BBFA" w14:textId="77777777" w:rsidTr="000C62D4">
        <w:tc>
          <w:tcPr>
            <w:tcW w:w="1418" w:type="dxa"/>
          </w:tcPr>
          <w:p w14:paraId="18ECF5DB" w14:textId="77777777" w:rsidR="00EF749B" w:rsidRPr="00F82317" w:rsidRDefault="00EF749B">
            <w:r w:rsidRPr="00F82317">
              <w:t>NEC/</w:t>
            </w:r>
            <w:proofErr w:type="spellStart"/>
            <w:r w:rsidRPr="00F82317">
              <w:t>nec</w:t>
            </w:r>
            <w:proofErr w:type="spellEnd"/>
          </w:p>
        </w:tc>
        <w:tc>
          <w:tcPr>
            <w:tcW w:w="5953" w:type="dxa"/>
          </w:tcPr>
          <w:p w14:paraId="55A096D1" w14:textId="77777777" w:rsidR="00EF749B" w:rsidRPr="00F82317" w:rsidRDefault="00EF749B">
            <w:r w:rsidRPr="00F82317">
              <w:t>not elsewhere classified</w:t>
            </w:r>
          </w:p>
        </w:tc>
      </w:tr>
    </w:tbl>
    <w:p w14:paraId="3F261673" w14:textId="77777777" w:rsidR="00EF749B" w:rsidRPr="00F82317" w:rsidRDefault="00EF749B" w:rsidP="00EF749B">
      <w:pPr>
        <w:spacing w:after="160" w:line="259" w:lineRule="auto"/>
      </w:pPr>
      <w:r w:rsidRPr="00F82317">
        <w:br w:type="page"/>
      </w:r>
    </w:p>
    <w:p w14:paraId="33380F32" w14:textId="5FB5CDE2" w:rsidR="00EF749B" w:rsidRPr="00F82317" w:rsidRDefault="00EF749B" w:rsidP="00EF749B">
      <w:pPr>
        <w:pStyle w:val="AlphaParagraph"/>
        <w:ind w:left="357" w:hanging="357"/>
      </w:pPr>
      <w:r w:rsidRPr="00F82317">
        <w:lastRenderedPageBreak/>
        <w:t xml:space="preserve">The Australian Capital Territory and the Northern Territory are referred to as </w:t>
      </w:r>
      <w:r w:rsidR="00A40A90">
        <w:t>‘</w:t>
      </w:r>
      <w:r w:rsidRPr="00F82317">
        <w:t>the</w:t>
      </w:r>
      <w:r w:rsidR="00235D6B">
        <w:t> </w:t>
      </w:r>
      <w:r w:rsidRPr="00F82317">
        <w:t>territories</w:t>
      </w:r>
      <w:r w:rsidR="00A40A90">
        <w:t>’</w:t>
      </w:r>
      <w:r w:rsidRPr="00F82317">
        <w:t xml:space="preserve">. References to the </w:t>
      </w:r>
      <w:r w:rsidR="00A40A90">
        <w:t>‘</w:t>
      </w:r>
      <w:r w:rsidRPr="00F82317">
        <w:t>states</w:t>
      </w:r>
      <w:r w:rsidR="00A40A90">
        <w:t>’</w:t>
      </w:r>
      <w:r w:rsidRPr="00F82317">
        <w:t xml:space="preserve"> or </w:t>
      </w:r>
      <w:r w:rsidR="00A40A90">
        <w:t>‘</w:t>
      </w:r>
      <w:r w:rsidRPr="00F82317">
        <w:t>each state</w:t>
      </w:r>
      <w:r w:rsidR="00A40A90">
        <w:t>’</w:t>
      </w:r>
      <w:r w:rsidRPr="00F82317">
        <w:t xml:space="preserve"> include the territories. </w:t>
      </w:r>
      <w:r w:rsidRPr="00235D6B">
        <w:rPr>
          <w:spacing w:val="-2"/>
        </w:rPr>
        <w:t>The</w:t>
      </w:r>
      <w:r w:rsidR="00235D6B" w:rsidRPr="00235D6B">
        <w:rPr>
          <w:spacing w:val="-2"/>
        </w:rPr>
        <w:t> </w:t>
      </w:r>
      <w:r w:rsidRPr="00235D6B">
        <w:rPr>
          <w:spacing w:val="-2"/>
        </w:rPr>
        <w:t>following abbreviations are used for the names of the states, where appropriate:</w:t>
      </w:r>
    </w:p>
    <w:tbl>
      <w:tblPr>
        <w:tblStyle w:val="TableGrid"/>
        <w:tblW w:w="73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5"/>
      </w:tblGrid>
      <w:tr w:rsidR="00EF749B" w:rsidRPr="00F82317" w14:paraId="763C91B8" w14:textId="77777777" w:rsidTr="000C62D4">
        <w:tc>
          <w:tcPr>
            <w:tcW w:w="1696" w:type="dxa"/>
          </w:tcPr>
          <w:p w14:paraId="08ABCDB4" w14:textId="77777777" w:rsidR="00EF749B" w:rsidRPr="00F82317" w:rsidRDefault="00EF749B">
            <w:r w:rsidRPr="00F82317">
              <w:t>NSW</w:t>
            </w:r>
          </w:p>
        </w:tc>
        <w:tc>
          <w:tcPr>
            <w:tcW w:w="5675" w:type="dxa"/>
          </w:tcPr>
          <w:p w14:paraId="41FF3261" w14:textId="77777777" w:rsidR="00EF749B" w:rsidRPr="00F82317" w:rsidRDefault="00EF749B">
            <w:r w:rsidRPr="00F82317">
              <w:t>New South Wales</w:t>
            </w:r>
          </w:p>
        </w:tc>
      </w:tr>
      <w:tr w:rsidR="00EF749B" w:rsidRPr="00F82317" w14:paraId="778B098F" w14:textId="77777777" w:rsidTr="000C62D4">
        <w:tc>
          <w:tcPr>
            <w:tcW w:w="1696" w:type="dxa"/>
          </w:tcPr>
          <w:p w14:paraId="0CAF41EC" w14:textId="77777777" w:rsidR="00EF749B" w:rsidRPr="00F82317" w:rsidRDefault="00EF749B">
            <w:r w:rsidRPr="00F82317">
              <w:t>VIC</w:t>
            </w:r>
          </w:p>
        </w:tc>
        <w:tc>
          <w:tcPr>
            <w:tcW w:w="5675" w:type="dxa"/>
          </w:tcPr>
          <w:p w14:paraId="3A80BACC" w14:textId="77777777" w:rsidR="00EF749B" w:rsidRPr="00F82317" w:rsidRDefault="00EF749B">
            <w:r w:rsidRPr="00F82317">
              <w:t>Victoria</w:t>
            </w:r>
          </w:p>
        </w:tc>
      </w:tr>
      <w:tr w:rsidR="00EF749B" w:rsidRPr="00F82317" w14:paraId="74CA78A5" w14:textId="77777777" w:rsidTr="000C62D4">
        <w:tc>
          <w:tcPr>
            <w:tcW w:w="1696" w:type="dxa"/>
          </w:tcPr>
          <w:p w14:paraId="2BFAB0E8" w14:textId="77777777" w:rsidR="00EF749B" w:rsidRPr="00F82317" w:rsidRDefault="00EF749B">
            <w:r w:rsidRPr="00F82317">
              <w:t>QLD</w:t>
            </w:r>
          </w:p>
        </w:tc>
        <w:tc>
          <w:tcPr>
            <w:tcW w:w="5675" w:type="dxa"/>
          </w:tcPr>
          <w:p w14:paraId="4B6174CB" w14:textId="77777777" w:rsidR="00EF749B" w:rsidRPr="00F82317" w:rsidRDefault="00EF749B">
            <w:r w:rsidRPr="00F82317">
              <w:t>Queensland</w:t>
            </w:r>
          </w:p>
        </w:tc>
      </w:tr>
      <w:tr w:rsidR="00EF749B" w:rsidRPr="00F82317" w14:paraId="662E5428" w14:textId="77777777" w:rsidTr="000C62D4">
        <w:tc>
          <w:tcPr>
            <w:tcW w:w="1696" w:type="dxa"/>
          </w:tcPr>
          <w:p w14:paraId="1683372C" w14:textId="77777777" w:rsidR="00EF749B" w:rsidRPr="00F82317" w:rsidRDefault="00EF749B">
            <w:r w:rsidRPr="00F82317">
              <w:t>WA</w:t>
            </w:r>
          </w:p>
        </w:tc>
        <w:tc>
          <w:tcPr>
            <w:tcW w:w="5675" w:type="dxa"/>
          </w:tcPr>
          <w:p w14:paraId="42E855BF" w14:textId="77777777" w:rsidR="00EF749B" w:rsidRPr="00F82317" w:rsidRDefault="00EF749B">
            <w:r w:rsidRPr="00F82317">
              <w:t>Western Australia</w:t>
            </w:r>
          </w:p>
        </w:tc>
      </w:tr>
      <w:tr w:rsidR="00EF749B" w:rsidRPr="00F82317" w14:paraId="163AEE50" w14:textId="77777777" w:rsidTr="000C62D4">
        <w:tc>
          <w:tcPr>
            <w:tcW w:w="1696" w:type="dxa"/>
          </w:tcPr>
          <w:p w14:paraId="1A5F5F38" w14:textId="77777777" w:rsidR="00EF749B" w:rsidRPr="00F82317" w:rsidRDefault="00EF749B">
            <w:r w:rsidRPr="00F82317">
              <w:t>SA</w:t>
            </w:r>
          </w:p>
        </w:tc>
        <w:tc>
          <w:tcPr>
            <w:tcW w:w="5675" w:type="dxa"/>
          </w:tcPr>
          <w:p w14:paraId="57D4B545" w14:textId="77777777" w:rsidR="00EF749B" w:rsidRPr="00F82317" w:rsidRDefault="00EF749B">
            <w:r w:rsidRPr="00F82317">
              <w:t>South Australia</w:t>
            </w:r>
          </w:p>
        </w:tc>
      </w:tr>
      <w:tr w:rsidR="00EF749B" w:rsidRPr="00F82317" w14:paraId="763A2B78" w14:textId="77777777" w:rsidTr="000C62D4">
        <w:tc>
          <w:tcPr>
            <w:tcW w:w="1696" w:type="dxa"/>
          </w:tcPr>
          <w:p w14:paraId="6DD52929" w14:textId="77777777" w:rsidR="00EF749B" w:rsidRPr="00F82317" w:rsidRDefault="00EF749B">
            <w:r w:rsidRPr="00F82317">
              <w:t>TAS</w:t>
            </w:r>
          </w:p>
        </w:tc>
        <w:tc>
          <w:tcPr>
            <w:tcW w:w="5675" w:type="dxa"/>
          </w:tcPr>
          <w:p w14:paraId="2598E948" w14:textId="77777777" w:rsidR="00EF749B" w:rsidRPr="00F82317" w:rsidRDefault="00EF749B">
            <w:r w:rsidRPr="00F82317">
              <w:t>Tasmania</w:t>
            </w:r>
          </w:p>
        </w:tc>
      </w:tr>
      <w:tr w:rsidR="00EF749B" w:rsidRPr="00F82317" w14:paraId="391170B1" w14:textId="77777777" w:rsidTr="000C62D4">
        <w:tc>
          <w:tcPr>
            <w:tcW w:w="1696" w:type="dxa"/>
          </w:tcPr>
          <w:p w14:paraId="30A2A344" w14:textId="77777777" w:rsidR="00EF749B" w:rsidRPr="00F82317" w:rsidRDefault="00EF749B">
            <w:r w:rsidRPr="00F82317">
              <w:t>ACT</w:t>
            </w:r>
          </w:p>
        </w:tc>
        <w:tc>
          <w:tcPr>
            <w:tcW w:w="5675" w:type="dxa"/>
          </w:tcPr>
          <w:p w14:paraId="6A5E272A" w14:textId="77777777" w:rsidR="00EF749B" w:rsidRPr="00F82317" w:rsidRDefault="00EF749B">
            <w:r w:rsidRPr="00F82317">
              <w:t>Australian Capital Territory</w:t>
            </w:r>
          </w:p>
        </w:tc>
      </w:tr>
      <w:tr w:rsidR="00EF749B" w:rsidRPr="00F82317" w14:paraId="455E9C4B" w14:textId="77777777" w:rsidTr="000C62D4">
        <w:tc>
          <w:tcPr>
            <w:tcW w:w="1696" w:type="dxa"/>
          </w:tcPr>
          <w:p w14:paraId="6D1D087F" w14:textId="77777777" w:rsidR="00EF749B" w:rsidRPr="00F82317" w:rsidRDefault="00EF749B">
            <w:r w:rsidRPr="00F82317">
              <w:t>NT</w:t>
            </w:r>
          </w:p>
        </w:tc>
        <w:tc>
          <w:tcPr>
            <w:tcW w:w="5675" w:type="dxa"/>
          </w:tcPr>
          <w:p w14:paraId="0DDBD3F2" w14:textId="77777777" w:rsidR="00EF749B" w:rsidRPr="00F82317" w:rsidRDefault="00EF749B">
            <w:r w:rsidRPr="00F82317">
              <w:t>Northern Territory</w:t>
            </w:r>
          </w:p>
        </w:tc>
      </w:tr>
    </w:tbl>
    <w:p w14:paraId="599EB79F" w14:textId="28398249" w:rsidR="00EF749B" w:rsidRPr="00F82317" w:rsidRDefault="00EF749B" w:rsidP="00EF749B">
      <w:pPr>
        <w:pStyle w:val="AlphaParagraph"/>
        <w:ind w:left="357" w:hanging="357"/>
      </w:pPr>
      <w:r w:rsidRPr="00F82317">
        <w:t>In this paper the term Commonwealth refers to the Commonwealth of Australia. The</w:t>
      </w:r>
      <w:r w:rsidR="00235D6B">
        <w:t> </w:t>
      </w:r>
      <w:r w:rsidRPr="00F82317">
        <w:t>term is used when referring to the legal entity of the Commonwealth of Australia.</w:t>
      </w:r>
    </w:p>
    <w:p w14:paraId="38F72874" w14:textId="7EC89E09" w:rsidR="00EF749B" w:rsidRPr="00F82317" w:rsidRDefault="00EF749B" w:rsidP="00EF749B">
      <w:pPr>
        <w:ind w:left="357"/>
      </w:pPr>
      <w:r w:rsidRPr="00F82317">
        <w:t>The term Australian Government is used when referring to the Government and the decisions and activities made by the Government on behalf of the Commonwealth of</w:t>
      </w:r>
      <w:r w:rsidR="00235D6B">
        <w:t> </w:t>
      </w:r>
      <w:r w:rsidRPr="00F82317">
        <w:t>Australia.</w:t>
      </w:r>
    </w:p>
    <w:p w14:paraId="655DAC48" w14:textId="77777777" w:rsidR="00CF011A" w:rsidRDefault="00CF011A" w:rsidP="00EF749B">
      <w:pPr>
        <w:spacing w:after="160" w:line="259" w:lineRule="auto"/>
      </w:pPr>
    </w:p>
    <w:p w14:paraId="3DDF6C67" w14:textId="77777777" w:rsidR="00D42B5B" w:rsidRDefault="00D42B5B" w:rsidP="00EF749B">
      <w:pPr>
        <w:spacing w:after="160" w:line="259" w:lineRule="auto"/>
        <w:sectPr w:rsidR="00D42B5B" w:rsidSect="002426D9">
          <w:headerReference w:type="even" r:id="rId19"/>
          <w:headerReference w:type="default" r:id="rId20"/>
          <w:footerReference w:type="even" r:id="rId21"/>
          <w:footerReference w:type="default" r:id="rId22"/>
          <w:headerReference w:type="first" r:id="rId23"/>
          <w:footerReference w:type="first" r:id="rId24"/>
          <w:pgSz w:w="11906" w:h="16838" w:code="9"/>
          <w:pgMar w:top="2835" w:right="2098" w:bottom="2466" w:left="2098" w:header="1814" w:footer="1814" w:gutter="0"/>
          <w:pgNumType w:fmt="lowerRoman"/>
          <w:cols w:space="708"/>
          <w:titlePg/>
          <w:docGrid w:linePitch="360"/>
        </w:sectPr>
      </w:pPr>
    </w:p>
    <w:p w14:paraId="79364C01" w14:textId="77777777" w:rsidR="00EF749B" w:rsidRPr="00D42B5B" w:rsidRDefault="00EF749B" w:rsidP="00EF749B">
      <w:pPr>
        <w:pStyle w:val="ContentsHeading"/>
      </w:pPr>
      <w:bookmarkStart w:id="0" w:name="_Toc114911685"/>
      <w:r w:rsidRPr="00D42B5B">
        <w:lastRenderedPageBreak/>
        <w:t>Contents</w:t>
      </w:r>
      <w:bookmarkEnd w:id="0"/>
    </w:p>
    <w:p w14:paraId="56739BA2" w14:textId="0654A1E5" w:rsidR="00EF749B" w:rsidRPr="00D42B5B" w:rsidRDefault="00EF749B" w:rsidP="00EF749B">
      <w:pPr>
        <w:pStyle w:val="TOC1"/>
        <w:rPr>
          <w:rFonts w:asciiTheme="minorHAnsi" w:eastAsiaTheme="minorEastAsia" w:hAnsiTheme="minorHAnsi" w:cstheme="minorBidi"/>
          <w:b w:val="0"/>
          <w:noProof/>
          <w:szCs w:val="22"/>
        </w:rPr>
      </w:pPr>
      <w:r w:rsidRPr="00D42B5B">
        <w:rPr>
          <w:noProof/>
        </w:rPr>
        <w:t>Preface</w:t>
      </w:r>
      <w:r w:rsidRPr="00D42B5B">
        <w:rPr>
          <w:noProof/>
        </w:rPr>
        <w:tab/>
      </w:r>
      <w:r w:rsidRPr="00D42B5B">
        <w:rPr>
          <w:noProof/>
        </w:rPr>
        <w:fldChar w:fldCharType="begin"/>
      </w:r>
      <w:r w:rsidRPr="00D42B5B">
        <w:rPr>
          <w:noProof/>
        </w:rPr>
        <w:instrText xml:space="preserve"> PAGEREF _Toc114920250 \h </w:instrText>
      </w:r>
      <w:r w:rsidRPr="00D42B5B">
        <w:rPr>
          <w:noProof/>
        </w:rPr>
      </w:r>
      <w:r w:rsidRPr="00D42B5B">
        <w:rPr>
          <w:noProof/>
        </w:rPr>
        <w:fldChar w:fldCharType="separate"/>
      </w:r>
      <w:r w:rsidR="001A4C01">
        <w:rPr>
          <w:noProof/>
        </w:rPr>
        <w:t>vii</w:t>
      </w:r>
      <w:r w:rsidRPr="00D42B5B">
        <w:rPr>
          <w:noProof/>
        </w:rPr>
        <w:fldChar w:fldCharType="end"/>
      </w:r>
    </w:p>
    <w:p w14:paraId="0F507091" w14:textId="77777777" w:rsidR="00193F70" w:rsidRDefault="00EF749B">
      <w:pPr>
        <w:pStyle w:val="TOC1"/>
        <w:rPr>
          <w:rFonts w:asciiTheme="minorHAnsi" w:eastAsiaTheme="minorEastAsia" w:hAnsiTheme="minorHAnsi" w:cstheme="minorBidi"/>
          <w:b w:val="0"/>
          <w:noProof/>
          <w:kern w:val="2"/>
          <w:sz w:val="22"/>
          <w:szCs w:val="22"/>
          <w14:ligatures w14:val="standardContextual"/>
        </w:rPr>
      </w:pPr>
      <w:r w:rsidRPr="00D42B5B">
        <w:rPr>
          <w:b w:val="0"/>
          <w:bCs/>
          <w:iCs/>
          <w:sz w:val="22"/>
        </w:rPr>
        <w:fldChar w:fldCharType="begin"/>
      </w:r>
      <w:r w:rsidRPr="00D42B5B">
        <w:rPr>
          <w:b w:val="0"/>
          <w:bCs/>
          <w:iCs/>
        </w:rPr>
        <w:instrText xml:space="preserve"> TOC \o "1-1" \t "Heading 2,2,Appendix Heading,1" </w:instrText>
      </w:r>
      <w:r w:rsidRPr="00D42B5B">
        <w:rPr>
          <w:b w:val="0"/>
          <w:bCs/>
          <w:iCs/>
          <w:sz w:val="22"/>
        </w:rPr>
        <w:fldChar w:fldCharType="separate"/>
      </w:r>
      <w:r w:rsidR="00193F70">
        <w:rPr>
          <w:noProof/>
        </w:rPr>
        <w:t>Part 1: Australian Government Budget Outcome 2023–24</w:t>
      </w:r>
      <w:r w:rsidR="00193F70">
        <w:rPr>
          <w:noProof/>
        </w:rPr>
        <w:tab/>
        <w:t>1</w:t>
      </w:r>
    </w:p>
    <w:p w14:paraId="1BFB11CA" w14:textId="77777777" w:rsidR="00193F70" w:rsidRDefault="00193F70" w:rsidP="00BD0938">
      <w:pPr>
        <w:pStyle w:val="TOC2"/>
        <w:tabs>
          <w:tab w:val="clear" w:pos="992"/>
        </w:tabs>
        <w:ind w:left="426" w:hanging="426"/>
        <w:rPr>
          <w:rFonts w:asciiTheme="minorHAnsi" w:eastAsiaTheme="minorEastAsia" w:hAnsiTheme="minorHAnsi" w:cstheme="minorBidi"/>
          <w:noProof/>
          <w:kern w:val="2"/>
          <w:sz w:val="22"/>
          <w:szCs w:val="22"/>
          <w14:ligatures w14:val="standardContextual"/>
        </w:rPr>
      </w:pPr>
      <w:r>
        <w:rPr>
          <w:noProof/>
        </w:rPr>
        <w:t>Overview</w:t>
      </w:r>
      <w:r>
        <w:rPr>
          <w:noProof/>
        </w:rPr>
        <w:tab/>
        <w:t>1</w:t>
      </w:r>
    </w:p>
    <w:p w14:paraId="09E6452F"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Budget aggregates</w:t>
      </w:r>
      <w:r>
        <w:rPr>
          <w:noProof/>
        </w:rPr>
        <w:tab/>
        <w:t>3</w:t>
      </w:r>
    </w:p>
    <w:p w14:paraId="61F8C489"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Underlying cash balance</w:t>
      </w:r>
      <w:r>
        <w:rPr>
          <w:noProof/>
        </w:rPr>
        <w:tab/>
        <w:t>4</w:t>
      </w:r>
    </w:p>
    <w:p w14:paraId="1F9898E8"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Primary balance</w:t>
      </w:r>
      <w:r>
        <w:rPr>
          <w:noProof/>
        </w:rPr>
        <w:tab/>
        <w:t>8</w:t>
      </w:r>
    </w:p>
    <w:p w14:paraId="3C2ECDA7"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Net operating balance and fiscal balance</w:t>
      </w:r>
      <w:r>
        <w:rPr>
          <w:noProof/>
        </w:rPr>
        <w:tab/>
        <w:t>8</w:t>
      </w:r>
    </w:p>
    <w:p w14:paraId="6A94638C"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Headline cash balance</w:t>
      </w:r>
      <w:r>
        <w:rPr>
          <w:noProof/>
        </w:rPr>
        <w:tab/>
        <w:t>13</w:t>
      </w:r>
    </w:p>
    <w:p w14:paraId="59BBD091"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Gross debt, net debt, net financial worth and net worth</w:t>
      </w:r>
      <w:r>
        <w:rPr>
          <w:noProof/>
        </w:rPr>
        <w:tab/>
        <w:t>14</w:t>
      </w:r>
    </w:p>
    <w:p w14:paraId="153D3B4C" w14:textId="77777777" w:rsidR="00193F70" w:rsidRDefault="00193F70">
      <w:pPr>
        <w:pStyle w:val="TOC1"/>
        <w:rPr>
          <w:rFonts w:asciiTheme="minorHAnsi" w:eastAsiaTheme="minorEastAsia" w:hAnsiTheme="minorHAnsi" w:cstheme="minorBidi"/>
          <w:b w:val="0"/>
          <w:noProof/>
          <w:kern w:val="2"/>
          <w:sz w:val="22"/>
          <w:szCs w:val="22"/>
          <w14:ligatures w14:val="standardContextual"/>
        </w:rPr>
      </w:pPr>
      <w:r>
        <w:rPr>
          <w:noProof/>
        </w:rPr>
        <w:t>Part 2: Australian Government Financial Statements</w:t>
      </w:r>
      <w:r>
        <w:rPr>
          <w:noProof/>
        </w:rPr>
        <w:tab/>
        <w:t>17</w:t>
      </w:r>
    </w:p>
    <w:p w14:paraId="6918864F"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Australian Government Financial Statements</w:t>
      </w:r>
      <w:r>
        <w:rPr>
          <w:noProof/>
        </w:rPr>
        <w:tab/>
        <w:t>18</w:t>
      </w:r>
    </w:p>
    <w:p w14:paraId="38514FD2"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Financial reporting standards and budget concepts</w:t>
      </w:r>
      <w:r>
        <w:rPr>
          <w:noProof/>
        </w:rPr>
        <w:tab/>
        <w:t>49</w:t>
      </w:r>
    </w:p>
    <w:p w14:paraId="226FFAA4" w14:textId="77777777" w:rsidR="00193F70" w:rsidRDefault="00193F70">
      <w:pPr>
        <w:pStyle w:val="TOC1"/>
        <w:rPr>
          <w:rFonts w:asciiTheme="minorHAnsi" w:eastAsiaTheme="minorEastAsia" w:hAnsiTheme="minorHAnsi" w:cstheme="minorBidi"/>
          <w:b w:val="0"/>
          <w:noProof/>
          <w:kern w:val="2"/>
          <w:sz w:val="22"/>
          <w:szCs w:val="22"/>
          <w14:ligatures w14:val="standardContextual"/>
        </w:rPr>
      </w:pPr>
      <w:r>
        <w:rPr>
          <w:noProof/>
        </w:rPr>
        <w:t>Part 3: Australia’s Federal Financial Relations</w:t>
      </w:r>
      <w:r>
        <w:rPr>
          <w:noProof/>
        </w:rPr>
        <w:tab/>
        <w:t>57</w:t>
      </w:r>
    </w:p>
    <w:p w14:paraId="3CEF26C4"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Overview of payments to the states</w:t>
      </w:r>
      <w:r>
        <w:rPr>
          <w:noProof/>
        </w:rPr>
        <w:tab/>
        <w:t>57</w:t>
      </w:r>
    </w:p>
    <w:p w14:paraId="3DAF0817"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Payments for specific purposes</w:t>
      </w:r>
      <w:r>
        <w:rPr>
          <w:noProof/>
        </w:rPr>
        <w:tab/>
        <w:t>58</w:t>
      </w:r>
    </w:p>
    <w:p w14:paraId="7ED640DB"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General revenue assistance</w:t>
      </w:r>
      <w:r>
        <w:rPr>
          <w:noProof/>
        </w:rPr>
        <w:tab/>
        <w:t>62</w:t>
      </w:r>
    </w:p>
    <w:p w14:paraId="485659BA"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Payments to the states</w:t>
      </w:r>
      <w:r>
        <w:rPr>
          <w:noProof/>
        </w:rPr>
        <w:tab/>
        <w:t>67</w:t>
      </w:r>
    </w:p>
    <w:p w14:paraId="33BD22CA" w14:textId="77777777" w:rsidR="00193F70" w:rsidRDefault="00193F70">
      <w:pPr>
        <w:pStyle w:val="TOC1"/>
        <w:rPr>
          <w:rFonts w:asciiTheme="minorHAnsi" w:eastAsiaTheme="minorEastAsia" w:hAnsiTheme="minorHAnsi" w:cstheme="minorBidi"/>
          <w:b w:val="0"/>
          <w:noProof/>
          <w:kern w:val="2"/>
          <w:sz w:val="22"/>
          <w:szCs w:val="22"/>
          <w14:ligatures w14:val="standardContextual"/>
        </w:rPr>
      </w:pPr>
      <w:r>
        <w:rPr>
          <w:noProof/>
        </w:rPr>
        <w:t>Appendix A: Expenses by Function and Sub</w:t>
      </w:r>
      <w:r>
        <w:rPr>
          <w:noProof/>
        </w:rPr>
        <w:noBreakHyphen/>
        <w:t>function</w:t>
      </w:r>
      <w:r>
        <w:rPr>
          <w:noProof/>
        </w:rPr>
        <w:tab/>
        <w:t>89</w:t>
      </w:r>
    </w:p>
    <w:p w14:paraId="79EC80A3" w14:textId="77777777" w:rsidR="00193F70" w:rsidRDefault="00193F70">
      <w:pPr>
        <w:pStyle w:val="TOC1"/>
        <w:rPr>
          <w:rFonts w:asciiTheme="minorHAnsi" w:eastAsiaTheme="minorEastAsia" w:hAnsiTheme="minorHAnsi" w:cstheme="minorBidi"/>
          <w:b w:val="0"/>
          <w:noProof/>
          <w:kern w:val="2"/>
          <w:sz w:val="22"/>
          <w:szCs w:val="22"/>
          <w14:ligatures w14:val="standardContextual"/>
        </w:rPr>
      </w:pPr>
      <w:r>
        <w:rPr>
          <w:noProof/>
        </w:rPr>
        <w:t>Appendix B: Historical Australian Government Data</w:t>
      </w:r>
      <w:r>
        <w:rPr>
          <w:noProof/>
        </w:rPr>
        <w:tab/>
        <w:t>93</w:t>
      </w:r>
    </w:p>
    <w:p w14:paraId="010FE494"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Data sources</w:t>
      </w:r>
      <w:r>
        <w:rPr>
          <w:noProof/>
        </w:rPr>
        <w:tab/>
        <w:t>93</w:t>
      </w:r>
    </w:p>
    <w:p w14:paraId="59C0C2E1"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Comparability of data across years</w:t>
      </w:r>
      <w:r>
        <w:rPr>
          <w:noProof/>
        </w:rPr>
        <w:tab/>
        <w:t>93</w:t>
      </w:r>
    </w:p>
    <w:p w14:paraId="530105A9" w14:textId="77777777" w:rsidR="00193F70" w:rsidRDefault="00193F70">
      <w:pPr>
        <w:pStyle w:val="TOC2"/>
        <w:rPr>
          <w:rFonts w:asciiTheme="minorHAnsi" w:eastAsiaTheme="minorEastAsia" w:hAnsiTheme="minorHAnsi" w:cstheme="minorBidi"/>
          <w:noProof/>
          <w:kern w:val="2"/>
          <w:sz w:val="22"/>
          <w:szCs w:val="22"/>
          <w14:ligatures w14:val="standardContextual"/>
        </w:rPr>
      </w:pPr>
      <w:r>
        <w:rPr>
          <w:noProof/>
        </w:rPr>
        <w:t>Revisions to previously published data</w:t>
      </w:r>
      <w:r>
        <w:rPr>
          <w:noProof/>
        </w:rPr>
        <w:tab/>
        <w:t>95</w:t>
      </w:r>
    </w:p>
    <w:p w14:paraId="39970112" w14:textId="52FAA638" w:rsidR="00EF749B" w:rsidRDefault="00EF749B" w:rsidP="00BD0938">
      <w:r w:rsidRPr="00D42B5B">
        <w:fldChar w:fldCharType="end"/>
      </w:r>
      <w:r w:rsidR="00A040C9">
        <w:fldChar w:fldCharType="begin"/>
      </w:r>
      <w:r w:rsidR="00A040C9">
        <w:instrText xml:space="preserve"> RD  01_Part_1.docx \f </w:instrText>
      </w:r>
      <w:r w:rsidR="00A040C9">
        <w:fldChar w:fldCharType="end"/>
      </w:r>
      <w:r w:rsidR="00B675FE">
        <w:fldChar w:fldCharType="begin"/>
      </w:r>
      <w:r w:rsidR="00B675FE">
        <w:instrText xml:space="preserve"> RD  02_Part_2.docx \f </w:instrText>
      </w:r>
      <w:r w:rsidR="00B675FE">
        <w:fldChar w:fldCharType="end"/>
      </w:r>
      <w:r w:rsidR="00B675FE">
        <w:fldChar w:fldCharType="begin"/>
      </w:r>
      <w:r w:rsidR="00B675FE">
        <w:instrText xml:space="preserve"> RD  03_Part_3.docx \f </w:instrText>
      </w:r>
      <w:r w:rsidR="00B675FE">
        <w:fldChar w:fldCharType="end"/>
      </w:r>
      <w:r w:rsidR="00B675FE">
        <w:fldChar w:fldCharType="begin"/>
      </w:r>
      <w:r w:rsidR="00B675FE">
        <w:instrText xml:space="preserve"> RD  </w:instrText>
      </w:r>
      <w:r w:rsidR="004779F1" w:rsidRPr="004779F1">
        <w:instrText>03_Part_3_AttA</w:instrText>
      </w:r>
      <w:r w:rsidR="00B675FE">
        <w:instrText xml:space="preserve">.docx \f </w:instrText>
      </w:r>
      <w:r w:rsidR="00B675FE">
        <w:fldChar w:fldCharType="end"/>
      </w:r>
      <w:r w:rsidR="00193F70">
        <w:fldChar w:fldCharType="begin"/>
      </w:r>
      <w:r w:rsidR="00193F70">
        <w:instrText xml:space="preserve"> RD  </w:instrText>
      </w:r>
      <w:r w:rsidR="00193F70" w:rsidRPr="00193F70">
        <w:instrText>04_Appendix_A</w:instrText>
      </w:r>
      <w:r w:rsidR="00193F70">
        <w:instrText xml:space="preserve">.docx \f </w:instrText>
      </w:r>
      <w:r w:rsidR="00193F70">
        <w:fldChar w:fldCharType="end"/>
      </w:r>
      <w:r w:rsidR="00193F70">
        <w:fldChar w:fldCharType="begin"/>
      </w:r>
      <w:r w:rsidR="00193F70">
        <w:instrText xml:space="preserve"> RD  </w:instrText>
      </w:r>
      <w:r w:rsidR="00193F70" w:rsidRPr="00193F70">
        <w:instrText>0</w:instrText>
      </w:r>
      <w:r w:rsidR="00193F70">
        <w:instrText>5</w:instrText>
      </w:r>
      <w:r w:rsidR="00193F70" w:rsidRPr="00193F70">
        <w:instrText>_Appendix_</w:instrText>
      </w:r>
      <w:r w:rsidR="00193F70">
        <w:instrText xml:space="preserve">B.docx \f </w:instrText>
      </w:r>
      <w:r w:rsidR="00193F70">
        <w:fldChar w:fldCharType="end"/>
      </w:r>
    </w:p>
    <w:p w14:paraId="39E70F90" w14:textId="77777777" w:rsidR="000316C1" w:rsidRDefault="000316C1" w:rsidP="00EF749B">
      <w:pPr>
        <w:spacing w:after="160" w:line="259" w:lineRule="auto"/>
      </w:pPr>
    </w:p>
    <w:p w14:paraId="3BF73828" w14:textId="77777777" w:rsidR="00A040C9" w:rsidRPr="00D42B5B" w:rsidRDefault="00A040C9" w:rsidP="00EF749B">
      <w:pPr>
        <w:spacing w:after="160" w:line="259" w:lineRule="auto"/>
        <w:sectPr w:rsidR="00A040C9" w:rsidRPr="00D42B5B" w:rsidSect="002426D9">
          <w:pgSz w:w="11906" w:h="16838" w:code="9"/>
          <w:pgMar w:top="2835" w:right="2098" w:bottom="2466" w:left="2098" w:header="1814" w:footer="1814" w:gutter="0"/>
          <w:pgNumType w:fmt="lowerRoman"/>
          <w:cols w:space="708"/>
          <w:titlePg/>
          <w:docGrid w:linePitch="360"/>
        </w:sectPr>
      </w:pPr>
    </w:p>
    <w:p w14:paraId="16321FE4" w14:textId="77777777" w:rsidR="00EF749B" w:rsidRPr="00F82317" w:rsidRDefault="00EF749B" w:rsidP="00EF749B">
      <w:pPr>
        <w:pStyle w:val="Heading1"/>
      </w:pPr>
      <w:bookmarkStart w:id="1" w:name="_Toc114911686"/>
      <w:bookmarkStart w:id="2" w:name="_Toc114920250"/>
      <w:bookmarkStart w:id="3" w:name="_Toc178158218"/>
      <w:r w:rsidRPr="00F82317">
        <w:lastRenderedPageBreak/>
        <w:t>Preface</w:t>
      </w:r>
      <w:bookmarkEnd w:id="1"/>
      <w:bookmarkEnd w:id="2"/>
      <w:bookmarkEnd w:id="3"/>
    </w:p>
    <w:p w14:paraId="1BFE1AA3" w14:textId="11E7A69E" w:rsidR="00EF749B" w:rsidRPr="00F82317" w:rsidRDefault="00EF749B" w:rsidP="00EF749B">
      <w:r w:rsidRPr="00F82317">
        <w:t>The Final Budget Outcome for 202</w:t>
      </w:r>
      <w:r w:rsidR="00395339">
        <w:t>3</w:t>
      </w:r>
      <w:r w:rsidR="000A064D">
        <w:t>–</w:t>
      </w:r>
      <w:r w:rsidR="003C7282">
        <w:t>2</w:t>
      </w:r>
      <w:r w:rsidR="00395339">
        <w:t>4</w:t>
      </w:r>
      <w:r w:rsidRPr="00F82317">
        <w:t xml:space="preserve"> has been prepared in a manner consistent with the </w:t>
      </w:r>
      <w:r w:rsidRPr="00B5190D">
        <w:rPr>
          <w:rStyle w:val="Emphasis"/>
        </w:rPr>
        <w:t>Charter of Budget Honesty Act 1998</w:t>
      </w:r>
      <w:r w:rsidRPr="00F82317">
        <w:t xml:space="preserve"> (the Charter). The Charter requires that the Government provide a final budget outcome report no later than </w:t>
      </w:r>
      <w:r w:rsidR="004F3746">
        <w:t>3</w:t>
      </w:r>
      <w:r w:rsidRPr="00F82317">
        <w:t xml:space="preserve"> months after the end of the financial year. Consistent with these requirements, this report encompasses Australian Government general government sector fiscal outcomes for the 202</w:t>
      </w:r>
      <w:r w:rsidR="00E23AC4">
        <w:t>3</w:t>
      </w:r>
      <w:r w:rsidR="000A064D">
        <w:t>–</w:t>
      </w:r>
      <w:r w:rsidR="003C7282">
        <w:t>2</w:t>
      </w:r>
      <w:r w:rsidR="00E23AC4">
        <w:t>4</w:t>
      </w:r>
      <w:r w:rsidRPr="00F82317">
        <w:t> financial year and is based on external reporting standards.</w:t>
      </w:r>
    </w:p>
    <w:p w14:paraId="7E50AA84" w14:textId="120436BD" w:rsidR="00EF749B" w:rsidRPr="00F82317" w:rsidRDefault="00EF749B" w:rsidP="00EF749B">
      <w:pPr>
        <w:pStyle w:val="Bullet"/>
      </w:pPr>
      <w:r w:rsidRPr="001E3AE0">
        <w:rPr>
          <w:rStyle w:val="Strong"/>
        </w:rPr>
        <w:t>Part 1</w:t>
      </w:r>
      <w:r w:rsidRPr="00F82317">
        <w:t xml:space="preserve"> provides the general government sector budget aggregates for </w:t>
      </w:r>
      <w:r w:rsidR="00E23AC4" w:rsidRPr="00F82317">
        <w:t>202</w:t>
      </w:r>
      <w:r w:rsidR="00E23AC4">
        <w:t>3–24</w:t>
      </w:r>
      <w:r w:rsidRPr="00F82317">
        <w:t xml:space="preserve"> together with an analysis of the Final Budget Outcome for </w:t>
      </w:r>
      <w:r w:rsidR="0062189F" w:rsidRPr="00F82317">
        <w:t>202</w:t>
      </w:r>
      <w:r w:rsidR="0062189F">
        <w:t>3–24</w:t>
      </w:r>
      <w:r w:rsidRPr="00F82317">
        <w:t>. This includes summary analysis of cash flows, revenue, expenses, net capital investment and the balance sheet (net debt, net financial worth and net worth).</w:t>
      </w:r>
    </w:p>
    <w:p w14:paraId="77AA78D8" w14:textId="0E9AC619" w:rsidR="00EF749B" w:rsidRPr="00F82317" w:rsidRDefault="00EF749B" w:rsidP="00EF749B">
      <w:pPr>
        <w:pStyle w:val="Bullet"/>
      </w:pPr>
      <w:r w:rsidRPr="001E3AE0">
        <w:rPr>
          <w:rStyle w:val="Strong"/>
        </w:rPr>
        <w:t>Part 2</w:t>
      </w:r>
      <w:r w:rsidRPr="00F82317">
        <w:t xml:space="preserve"> presents the Australian Government financial statements for </w:t>
      </w:r>
      <w:r w:rsidR="0062189F" w:rsidRPr="00F82317">
        <w:t>202</w:t>
      </w:r>
      <w:r w:rsidR="0062189F">
        <w:t>3–24</w:t>
      </w:r>
      <w:r w:rsidRPr="00F82317">
        <w:t xml:space="preserve"> with the Australian Bureau of Statistics</w:t>
      </w:r>
      <w:r w:rsidR="00A40A90">
        <w:t>’</w:t>
      </w:r>
      <w:r w:rsidRPr="00F82317">
        <w:t xml:space="preserve"> (ABS) Government Finance Statistics (GFS) as the basis for accounting policy, except for where the Government has decided to depart because Australian Accounting Standards provide a better conceptual treatment for presenting information of relevance to users of public sector financial reports. This data covers the general government sector as well as the Australian Government public corporations sectors.</w:t>
      </w:r>
    </w:p>
    <w:p w14:paraId="61EAF013" w14:textId="58FA05C1" w:rsidR="00EF749B" w:rsidRPr="00F82317" w:rsidRDefault="00EF749B" w:rsidP="00EF749B">
      <w:pPr>
        <w:pStyle w:val="Bullet"/>
      </w:pPr>
      <w:r w:rsidRPr="001E3AE0">
        <w:rPr>
          <w:rStyle w:val="Strong"/>
        </w:rPr>
        <w:t>Part 3</w:t>
      </w:r>
      <w:r w:rsidRPr="00F82317">
        <w:t xml:space="preserve"> provides details for </w:t>
      </w:r>
      <w:r w:rsidR="0062189F" w:rsidRPr="00F82317">
        <w:t>202</w:t>
      </w:r>
      <w:r w:rsidR="0062189F">
        <w:t>3–24</w:t>
      </w:r>
      <w:r w:rsidRPr="00F82317">
        <w:t xml:space="preserve"> on Australia</w:t>
      </w:r>
      <w:r w:rsidR="00A40A90">
        <w:t>’</w:t>
      </w:r>
      <w:r w:rsidRPr="00F82317">
        <w:t xml:space="preserve">s Federal Financial Relations, updated from that contained in the </w:t>
      </w:r>
      <w:r w:rsidRPr="00367DAD">
        <w:t>202</w:t>
      </w:r>
      <w:r w:rsidR="00E719A7">
        <w:t>4</w:t>
      </w:r>
      <w:r w:rsidR="00471987">
        <w:t>–</w:t>
      </w:r>
      <w:r w:rsidR="00810F46" w:rsidRPr="00367DAD">
        <w:t>2</w:t>
      </w:r>
      <w:r w:rsidR="00E719A7">
        <w:t>5</w:t>
      </w:r>
      <w:r w:rsidRPr="00367DAD">
        <w:t xml:space="preserve"> Budget</w:t>
      </w:r>
      <w:r w:rsidRPr="00F82317">
        <w:t xml:space="preserve"> Paper No. 3, </w:t>
      </w:r>
      <w:r w:rsidRPr="00B5190D">
        <w:rPr>
          <w:rStyle w:val="Emphasis"/>
        </w:rPr>
        <w:t>Federal Financial Relations</w:t>
      </w:r>
      <w:r w:rsidRPr="00F82317">
        <w:t>.</w:t>
      </w:r>
    </w:p>
    <w:p w14:paraId="46CBC45C" w14:textId="652F8778" w:rsidR="00471987" w:rsidRPr="0028236C" w:rsidRDefault="00EF749B" w:rsidP="00216F31">
      <w:r w:rsidRPr="001E3AE0">
        <w:rPr>
          <w:rStyle w:val="Strong"/>
        </w:rPr>
        <w:t>Appendix A</w:t>
      </w:r>
      <w:r w:rsidRPr="00F82317">
        <w:t xml:space="preserve"> contains expenses data on a function</w:t>
      </w:r>
      <w:r w:rsidRPr="00F82317" w:rsidDel="00EB2F72">
        <w:t>al</w:t>
      </w:r>
      <w:r w:rsidRPr="00F82317">
        <w:t xml:space="preserve"> and sub</w:t>
      </w:r>
      <w:r w:rsidR="00A40A90">
        <w:noBreakHyphen/>
      </w:r>
      <w:r w:rsidRPr="00F82317">
        <w:t>function</w:t>
      </w:r>
      <w:r w:rsidRPr="00F82317" w:rsidDel="00EB2F72">
        <w:t>al</w:t>
      </w:r>
      <w:r w:rsidRPr="00F82317">
        <w:t xml:space="preserve"> basis. Historical Australian Government data are presented in </w:t>
      </w:r>
      <w:r w:rsidRPr="001E3AE0">
        <w:rPr>
          <w:rStyle w:val="Strong"/>
        </w:rPr>
        <w:t>Appendix B</w:t>
      </w:r>
      <w:r w:rsidRPr="00F82317">
        <w:t>.</w:t>
      </w:r>
    </w:p>
    <w:sectPr w:rsidR="00471987" w:rsidRPr="0028236C" w:rsidSect="009C2889">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7F19" w14:textId="77777777" w:rsidR="00447B67" w:rsidRDefault="00447B67" w:rsidP="00E40261">
      <w:pPr>
        <w:spacing w:after="0" w:line="240" w:lineRule="auto"/>
      </w:pPr>
      <w:r>
        <w:separator/>
      </w:r>
    </w:p>
  </w:endnote>
  <w:endnote w:type="continuationSeparator" w:id="0">
    <w:p w14:paraId="7FFB7EA0" w14:textId="77777777" w:rsidR="00447B67" w:rsidRDefault="00447B67" w:rsidP="00E40261">
      <w:pPr>
        <w:spacing w:after="0" w:line="240" w:lineRule="auto"/>
      </w:pPr>
      <w:r>
        <w:continuationSeparator/>
      </w:r>
    </w:p>
  </w:endnote>
  <w:endnote w:type="continuationNotice" w:id="1">
    <w:p w14:paraId="1C4EA8A7" w14:textId="77777777" w:rsidR="00447B67" w:rsidRDefault="00447B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Work Sans Light">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461E" w14:textId="5F82830D" w:rsidR="00EF749B" w:rsidRDefault="00EF749B">
    <w:pPr>
      <w:pStyle w:val="FooterEven"/>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iv</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276F" w14:textId="6387C81F" w:rsidR="00CF011A" w:rsidRDefault="00AF267A" w:rsidP="00CF011A">
    <w:pPr>
      <w:pStyle w:val="FooterOdd"/>
    </w:pPr>
    <w:r>
      <w:fldChar w:fldCharType="begin"/>
    </w:r>
    <w:r>
      <w:instrText xml:space="preserve"> SUBJECT   \* MERGEFORMAT </w:instrText>
    </w:r>
    <w:r>
      <w:fldChar w:fldCharType="separate"/>
    </w:r>
    <w:r w:rsidR="001A4C01">
      <w:t>Preliminaries</w:t>
    </w:r>
    <w:r>
      <w:fldChar w:fldCharType="end"/>
    </w:r>
    <w:r w:rsidR="00CF011A" w:rsidRPr="00B3705D">
      <w:t xml:space="preserve">  |  </w:t>
    </w:r>
    <w:r w:rsidR="00CF011A" w:rsidRPr="00B3705D">
      <w:rPr>
        <w:b/>
        <w:bCs/>
      </w:rPr>
      <w:t xml:space="preserve">Page </w:t>
    </w:r>
    <w:r w:rsidR="00CF011A" w:rsidRPr="00B3705D">
      <w:rPr>
        <w:b/>
        <w:bCs/>
      </w:rPr>
      <w:fldChar w:fldCharType="begin"/>
    </w:r>
    <w:r w:rsidR="00CF011A" w:rsidRPr="00B3705D">
      <w:rPr>
        <w:b/>
        <w:bCs/>
      </w:rPr>
      <w:instrText xml:space="preserve"> PAGE  \* Arabic  \* MERGEFORMAT </w:instrText>
    </w:r>
    <w:r w:rsidR="00CF011A" w:rsidRPr="00B3705D">
      <w:rPr>
        <w:b/>
        <w:bCs/>
      </w:rPr>
      <w:fldChar w:fldCharType="separate"/>
    </w:r>
    <w:r w:rsidR="00CF011A">
      <w:rPr>
        <w:b/>
        <w:bCs/>
      </w:rPr>
      <w:t>1</w:t>
    </w:r>
    <w:r w:rsidR="00CF011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1FD8" w14:textId="0A91FF3D" w:rsidR="00EF749B" w:rsidRPr="00733CD0" w:rsidRDefault="00EF749B">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368D" w14:textId="4A426DE9" w:rsidR="0099074A" w:rsidRDefault="0099074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F267A">
      <w:fldChar w:fldCharType="begin"/>
    </w:r>
    <w:r w:rsidR="00AF267A">
      <w:instrText xml:space="preserve"> SUBJECT   \* MERGEFORMAT </w:instrText>
    </w:r>
    <w:r w:rsidR="00AF267A">
      <w:fldChar w:fldCharType="separate"/>
    </w:r>
    <w:r w:rsidR="001A4C01">
      <w:t>Preliminaries</w:t>
    </w:r>
    <w:r w:rsidR="00AF267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9BBF" w14:textId="3FBEDDDF" w:rsidR="0099074A" w:rsidRDefault="00AF267A" w:rsidP="002A6A16">
    <w:pPr>
      <w:pStyle w:val="FooterOdd"/>
    </w:pPr>
    <w:r>
      <w:fldChar w:fldCharType="begin"/>
    </w:r>
    <w:r>
      <w:instrText xml:space="preserve"> SUBJECT   \* MERGEFORMAT </w:instrText>
    </w:r>
    <w:r>
      <w:fldChar w:fldCharType="separate"/>
    </w:r>
    <w:r w:rsidR="001A4C01">
      <w:t>Preliminaries</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DF90" w14:textId="330A2B01" w:rsidR="009C2889" w:rsidRDefault="00AF267A" w:rsidP="00360947">
    <w:pPr>
      <w:pStyle w:val="FooterOdd"/>
    </w:pPr>
    <w:r>
      <w:fldChar w:fldCharType="begin"/>
    </w:r>
    <w:r>
      <w:instrText xml:space="preserve"> SUBJECT   \* MERGEFORMAT </w:instrText>
    </w:r>
    <w:r>
      <w:fldChar w:fldCharType="separate"/>
    </w:r>
    <w:r w:rsidR="001A4C01">
      <w:t>Preliminaries</w:t>
    </w:r>
    <w:r>
      <w:fldChar w:fldCharType="end"/>
    </w:r>
    <w:r w:rsidR="009C2889" w:rsidRPr="00B3705D">
      <w:t xml:space="preserve">  |  </w:t>
    </w:r>
    <w:r w:rsidR="009C2889" w:rsidRPr="00B3705D">
      <w:rPr>
        <w:b/>
        <w:bCs/>
      </w:rPr>
      <w:t xml:space="preserve">Page </w:t>
    </w:r>
    <w:r w:rsidR="009C2889">
      <w:rPr>
        <w:b/>
        <w:bCs/>
      </w:rPr>
      <w:fldChar w:fldCharType="begin"/>
    </w:r>
    <w:r w:rsidR="009C2889">
      <w:rPr>
        <w:b/>
        <w:bCs/>
      </w:rPr>
      <w:instrText xml:space="preserve"> PAGE  \* roman  \* MERGEFORMAT </w:instrText>
    </w:r>
    <w:r w:rsidR="009C2889">
      <w:rPr>
        <w:b/>
        <w:bCs/>
      </w:rPr>
      <w:fldChar w:fldCharType="separate"/>
    </w:r>
    <w:r w:rsidR="009C2889">
      <w:rPr>
        <w:b/>
        <w:bCs/>
        <w:noProof/>
      </w:rPr>
      <w:t>iv</w:t>
    </w:r>
    <w:r w:rsidR="009C288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96AD" w14:textId="77777777" w:rsidR="00447B67" w:rsidRDefault="00447B67" w:rsidP="00E40261">
      <w:pPr>
        <w:spacing w:after="0" w:line="240" w:lineRule="auto"/>
      </w:pPr>
      <w:r>
        <w:separator/>
      </w:r>
    </w:p>
  </w:footnote>
  <w:footnote w:type="continuationSeparator" w:id="0">
    <w:p w14:paraId="18846A61" w14:textId="77777777" w:rsidR="00447B67" w:rsidRDefault="00447B67" w:rsidP="00E40261">
      <w:pPr>
        <w:spacing w:after="0" w:line="240" w:lineRule="auto"/>
      </w:pPr>
      <w:r>
        <w:continuationSeparator/>
      </w:r>
    </w:p>
  </w:footnote>
  <w:footnote w:type="continuationNotice" w:id="1">
    <w:p w14:paraId="1BB78FE8" w14:textId="77777777" w:rsidR="00447B67" w:rsidRDefault="00447B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288C" w14:textId="34C5292C" w:rsidR="00CF011A" w:rsidRDefault="00CF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DB3F" w14:textId="4B116FCA" w:rsidR="00CF011A" w:rsidRDefault="00CF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6EA2" w14:textId="0961BD94" w:rsidR="00CF011A" w:rsidRDefault="00CF0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7D5CB8EC" w14:textId="77777777" w:rsidTr="002A6A16">
      <w:trPr>
        <w:trHeight w:hRule="exact" w:val="340"/>
      </w:trPr>
      <w:tc>
        <w:tcPr>
          <w:tcW w:w="7797" w:type="dxa"/>
        </w:tcPr>
        <w:p w14:paraId="75529CF7" w14:textId="27728C22" w:rsidR="0056260A" w:rsidRDefault="00A426F9" w:rsidP="008F55F8">
          <w:pPr>
            <w:pStyle w:val="HeaderEven"/>
            <w:ind w:left="-113"/>
          </w:pPr>
          <w:r w:rsidRPr="008C56E1">
            <w:rPr>
              <w:noProof/>
              <w:position w:val="-8"/>
            </w:rPr>
            <w:drawing>
              <wp:inline distT="0" distB="0" distL="0" distR="0" wp14:anchorId="13FB9093" wp14:editId="34E6057C">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w:t>
          </w:r>
          <w:r w:rsidR="0056260A">
            <w:t xml:space="preserve"> |  </w:t>
          </w:r>
          <w:r w:rsidR="00AF267A">
            <w:fldChar w:fldCharType="begin"/>
          </w:r>
          <w:r w:rsidR="00AF267A">
            <w:instrText xml:space="preserve"> TITLE   \* MERGEFORMAT </w:instrText>
          </w:r>
          <w:r w:rsidR="00AF267A">
            <w:fldChar w:fldCharType="separate"/>
          </w:r>
          <w:r w:rsidR="001A4C01">
            <w:t>Final Budget Outcome 2023–24</w:t>
          </w:r>
          <w:r w:rsidR="00AF267A">
            <w:fldChar w:fldCharType="end"/>
          </w:r>
        </w:p>
      </w:tc>
    </w:tr>
  </w:tbl>
  <w:p w14:paraId="692F260D" w14:textId="648CC797" w:rsidR="0099074A" w:rsidRPr="00AA5439" w:rsidRDefault="0099074A" w:rsidP="00AA5439">
    <w:pPr>
      <w:pStyle w:val="HeaderEven"/>
      <w:rPr>
        <w:sz w:val="2"/>
        <w:szCs w:val="2"/>
      </w:rPr>
    </w:pPr>
  </w:p>
  <w:p w14:paraId="50D3A55A" w14:textId="77777777" w:rsidR="0099074A" w:rsidRPr="007703C7" w:rsidRDefault="0099074A"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3AACDD9D" w14:textId="77777777" w:rsidTr="008276DF">
      <w:trPr>
        <w:trHeight w:hRule="exact" w:val="340"/>
      </w:trPr>
      <w:tc>
        <w:tcPr>
          <w:tcW w:w="7797" w:type="dxa"/>
        </w:tcPr>
        <w:p w14:paraId="2E20C831" w14:textId="173E9195" w:rsidR="0056260A" w:rsidRDefault="00AF267A" w:rsidP="000635BE">
          <w:pPr>
            <w:pStyle w:val="HeaderOdd"/>
          </w:pPr>
          <w:r>
            <w:fldChar w:fldCharType="begin"/>
          </w:r>
          <w:r>
            <w:instrText xml:space="preserve"> TITLE   \* MERGEFORMAT </w:instrText>
          </w:r>
          <w:r>
            <w:fldChar w:fldCharType="separate"/>
          </w:r>
          <w:r w:rsidR="001A4C01">
            <w:t>Final Budget Outcome 2023–24</w:t>
          </w:r>
          <w:r>
            <w:fldChar w:fldCharType="end"/>
          </w:r>
          <w:r w:rsidR="0056260A">
            <w:t xml:space="preserve">  |  </w:t>
          </w:r>
          <w:r w:rsidR="00A426F9" w:rsidRPr="00C9389A">
            <w:rPr>
              <w:noProof/>
              <w:position w:val="-8"/>
            </w:rPr>
            <w:drawing>
              <wp:inline distT="0" distB="0" distL="0" distR="0" wp14:anchorId="656AEC26" wp14:editId="51F24C10">
                <wp:extent cx="878400" cy="198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4BE9366" w14:textId="6FB3F1AF" w:rsidR="0099074A" w:rsidRPr="0056260A" w:rsidRDefault="0099074A" w:rsidP="0056260A">
    <w:pPr>
      <w:pStyle w:val="HeaderOdd"/>
      <w:rPr>
        <w:sz w:val="2"/>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C0FD" w14:textId="312D8D7C" w:rsidR="0099074A" w:rsidRDefault="00990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295792494">
    <w:abstractNumId w:val="14"/>
  </w:num>
  <w:num w:numId="2" w16cid:durableId="1782917294">
    <w:abstractNumId w:val="11"/>
  </w:num>
  <w:num w:numId="3" w16cid:durableId="1244292667">
    <w:abstractNumId w:val="10"/>
  </w:num>
  <w:num w:numId="4" w16cid:durableId="1586068299">
    <w:abstractNumId w:val="13"/>
  </w:num>
  <w:num w:numId="5" w16cid:durableId="646477248">
    <w:abstractNumId w:val="15"/>
  </w:num>
  <w:num w:numId="6" w16cid:durableId="1669476454">
    <w:abstractNumId w:val="10"/>
  </w:num>
  <w:num w:numId="7" w16cid:durableId="56173759">
    <w:abstractNumId w:val="10"/>
  </w:num>
  <w:num w:numId="8" w16cid:durableId="948199615">
    <w:abstractNumId w:val="12"/>
  </w:num>
  <w:num w:numId="9" w16cid:durableId="322590933">
    <w:abstractNumId w:val="9"/>
  </w:num>
  <w:num w:numId="10" w16cid:durableId="1723669811">
    <w:abstractNumId w:val="7"/>
  </w:num>
  <w:num w:numId="11" w16cid:durableId="235865475">
    <w:abstractNumId w:val="6"/>
  </w:num>
  <w:num w:numId="12" w16cid:durableId="1066297075">
    <w:abstractNumId w:val="5"/>
  </w:num>
  <w:num w:numId="13" w16cid:durableId="10422456">
    <w:abstractNumId w:val="4"/>
  </w:num>
  <w:num w:numId="14" w16cid:durableId="4594083">
    <w:abstractNumId w:val="8"/>
  </w:num>
  <w:num w:numId="15" w16cid:durableId="961616114">
    <w:abstractNumId w:val="3"/>
  </w:num>
  <w:num w:numId="16" w16cid:durableId="760225057">
    <w:abstractNumId w:val="2"/>
  </w:num>
  <w:num w:numId="17" w16cid:durableId="1531915683">
    <w:abstractNumId w:val="1"/>
  </w:num>
  <w:num w:numId="18" w16cid:durableId="288900107">
    <w:abstractNumId w:val="0"/>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F749B"/>
    <w:rsid w:val="00011DBB"/>
    <w:rsid w:val="00013EA8"/>
    <w:rsid w:val="00014F86"/>
    <w:rsid w:val="000203E3"/>
    <w:rsid w:val="000316C1"/>
    <w:rsid w:val="00035860"/>
    <w:rsid w:val="00035D8D"/>
    <w:rsid w:val="00045193"/>
    <w:rsid w:val="000622DA"/>
    <w:rsid w:val="000635BE"/>
    <w:rsid w:val="00097A7B"/>
    <w:rsid w:val="000A064D"/>
    <w:rsid w:val="000B0E80"/>
    <w:rsid w:val="000C4EE8"/>
    <w:rsid w:val="000C62D4"/>
    <w:rsid w:val="000D3F70"/>
    <w:rsid w:val="000E105B"/>
    <w:rsid w:val="000E149B"/>
    <w:rsid w:val="000F125B"/>
    <w:rsid w:val="000F7BB4"/>
    <w:rsid w:val="000F7C4C"/>
    <w:rsid w:val="00103F65"/>
    <w:rsid w:val="00105787"/>
    <w:rsid w:val="0011175D"/>
    <w:rsid w:val="001132B6"/>
    <w:rsid w:val="0013217A"/>
    <w:rsid w:val="00146622"/>
    <w:rsid w:val="00146FAD"/>
    <w:rsid w:val="001672B3"/>
    <w:rsid w:val="00170873"/>
    <w:rsid w:val="00172CFE"/>
    <w:rsid w:val="00175571"/>
    <w:rsid w:val="0019115B"/>
    <w:rsid w:val="00193F70"/>
    <w:rsid w:val="001970E6"/>
    <w:rsid w:val="001A2F72"/>
    <w:rsid w:val="001A4C01"/>
    <w:rsid w:val="001C29BA"/>
    <w:rsid w:val="001D33D6"/>
    <w:rsid w:val="001D3EA8"/>
    <w:rsid w:val="001E3AE0"/>
    <w:rsid w:val="001F08E1"/>
    <w:rsid w:val="001F3F7B"/>
    <w:rsid w:val="001F5500"/>
    <w:rsid w:val="002128BA"/>
    <w:rsid w:val="00216F31"/>
    <w:rsid w:val="00216FA2"/>
    <w:rsid w:val="00221AEF"/>
    <w:rsid w:val="00221B36"/>
    <w:rsid w:val="00235D6B"/>
    <w:rsid w:val="00237F04"/>
    <w:rsid w:val="002426D9"/>
    <w:rsid w:val="00250CF3"/>
    <w:rsid w:val="00253C81"/>
    <w:rsid w:val="00256A39"/>
    <w:rsid w:val="00265045"/>
    <w:rsid w:val="00267200"/>
    <w:rsid w:val="0026796D"/>
    <w:rsid w:val="002713E0"/>
    <w:rsid w:val="00281716"/>
    <w:rsid w:val="0028236C"/>
    <w:rsid w:val="002A0ABA"/>
    <w:rsid w:val="002A4359"/>
    <w:rsid w:val="002A6A16"/>
    <w:rsid w:val="002B069E"/>
    <w:rsid w:val="002B40C4"/>
    <w:rsid w:val="002B6106"/>
    <w:rsid w:val="002C3690"/>
    <w:rsid w:val="002C3DEB"/>
    <w:rsid w:val="002E2DCC"/>
    <w:rsid w:val="002E638A"/>
    <w:rsid w:val="002E7B71"/>
    <w:rsid w:val="00300445"/>
    <w:rsid w:val="00300691"/>
    <w:rsid w:val="00305105"/>
    <w:rsid w:val="00322E77"/>
    <w:rsid w:val="00327F68"/>
    <w:rsid w:val="003303B0"/>
    <w:rsid w:val="00341FAD"/>
    <w:rsid w:val="003421CD"/>
    <w:rsid w:val="003451F5"/>
    <w:rsid w:val="003460DF"/>
    <w:rsid w:val="003478ED"/>
    <w:rsid w:val="003506C0"/>
    <w:rsid w:val="00355712"/>
    <w:rsid w:val="00355833"/>
    <w:rsid w:val="003605B3"/>
    <w:rsid w:val="00360947"/>
    <w:rsid w:val="003623C1"/>
    <w:rsid w:val="00367DAD"/>
    <w:rsid w:val="00381D29"/>
    <w:rsid w:val="00382E3D"/>
    <w:rsid w:val="00395339"/>
    <w:rsid w:val="003A32F0"/>
    <w:rsid w:val="003A3AC2"/>
    <w:rsid w:val="003B1199"/>
    <w:rsid w:val="003B16A1"/>
    <w:rsid w:val="003B3670"/>
    <w:rsid w:val="003B72AF"/>
    <w:rsid w:val="003B734C"/>
    <w:rsid w:val="003C0256"/>
    <w:rsid w:val="003C1E71"/>
    <w:rsid w:val="003C5F39"/>
    <w:rsid w:val="003C7282"/>
    <w:rsid w:val="003D49D8"/>
    <w:rsid w:val="003E09C9"/>
    <w:rsid w:val="003F4499"/>
    <w:rsid w:val="00402030"/>
    <w:rsid w:val="00407C00"/>
    <w:rsid w:val="00413AFC"/>
    <w:rsid w:val="00414D61"/>
    <w:rsid w:val="004233DE"/>
    <w:rsid w:val="00424BC3"/>
    <w:rsid w:val="00425C54"/>
    <w:rsid w:val="00445F5C"/>
    <w:rsid w:val="00447B67"/>
    <w:rsid w:val="00447E2C"/>
    <w:rsid w:val="00471987"/>
    <w:rsid w:val="00472C62"/>
    <w:rsid w:val="0047769E"/>
    <w:rsid w:val="004779F1"/>
    <w:rsid w:val="00481121"/>
    <w:rsid w:val="00482102"/>
    <w:rsid w:val="0048563A"/>
    <w:rsid w:val="004908C3"/>
    <w:rsid w:val="004B13DD"/>
    <w:rsid w:val="004B19E1"/>
    <w:rsid w:val="004E189B"/>
    <w:rsid w:val="004F3746"/>
    <w:rsid w:val="004F3FD9"/>
    <w:rsid w:val="004F60DD"/>
    <w:rsid w:val="005057DA"/>
    <w:rsid w:val="005141A0"/>
    <w:rsid w:val="005151D9"/>
    <w:rsid w:val="00521751"/>
    <w:rsid w:val="00547B2E"/>
    <w:rsid w:val="00550473"/>
    <w:rsid w:val="0056260A"/>
    <w:rsid w:val="0057025A"/>
    <w:rsid w:val="00577313"/>
    <w:rsid w:val="00580067"/>
    <w:rsid w:val="00583358"/>
    <w:rsid w:val="005A20D6"/>
    <w:rsid w:val="005A43A4"/>
    <w:rsid w:val="005B3010"/>
    <w:rsid w:val="005D23CB"/>
    <w:rsid w:val="005D5381"/>
    <w:rsid w:val="005E792C"/>
    <w:rsid w:val="005F321A"/>
    <w:rsid w:val="005F33B6"/>
    <w:rsid w:val="005F5CF2"/>
    <w:rsid w:val="0060305C"/>
    <w:rsid w:val="00603EE5"/>
    <w:rsid w:val="00610400"/>
    <w:rsid w:val="00614554"/>
    <w:rsid w:val="006167D2"/>
    <w:rsid w:val="0061728B"/>
    <w:rsid w:val="0062189F"/>
    <w:rsid w:val="00622CDB"/>
    <w:rsid w:val="00623235"/>
    <w:rsid w:val="00630B74"/>
    <w:rsid w:val="00637340"/>
    <w:rsid w:val="00650EFE"/>
    <w:rsid w:val="006568AA"/>
    <w:rsid w:val="00664F1B"/>
    <w:rsid w:val="00671CB5"/>
    <w:rsid w:val="00672D01"/>
    <w:rsid w:val="00675EF2"/>
    <w:rsid w:val="00677EBB"/>
    <w:rsid w:val="006801AE"/>
    <w:rsid w:val="00680768"/>
    <w:rsid w:val="00682D05"/>
    <w:rsid w:val="00684D0B"/>
    <w:rsid w:val="00692105"/>
    <w:rsid w:val="006C3E1F"/>
    <w:rsid w:val="006C4A90"/>
    <w:rsid w:val="006D488C"/>
    <w:rsid w:val="006E23CE"/>
    <w:rsid w:val="006E7F46"/>
    <w:rsid w:val="006F3FA7"/>
    <w:rsid w:val="00702304"/>
    <w:rsid w:val="007066A3"/>
    <w:rsid w:val="00720BAB"/>
    <w:rsid w:val="0072449F"/>
    <w:rsid w:val="00752E4F"/>
    <w:rsid w:val="00753DA0"/>
    <w:rsid w:val="00754CF2"/>
    <w:rsid w:val="00755F34"/>
    <w:rsid w:val="00757644"/>
    <w:rsid w:val="007703C7"/>
    <w:rsid w:val="00791275"/>
    <w:rsid w:val="00792F0C"/>
    <w:rsid w:val="007B0EA8"/>
    <w:rsid w:val="007B2C7B"/>
    <w:rsid w:val="007B7C71"/>
    <w:rsid w:val="007D782A"/>
    <w:rsid w:val="007E6F05"/>
    <w:rsid w:val="007F3EEB"/>
    <w:rsid w:val="00810F46"/>
    <w:rsid w:val="00814049"/>
    <w:rsid w:val="008156AD"/>
    <w:rsid w:val="0082003E"/>
    <w:rsid w:val="00824E07"/>
    <w:rsid w:val="008253FB"/>
    <w:rsid w:val="008276DF"/>
    <w:rsid w:val="008278E0"/>
    <w:rsid w:val="00840D68"/>
    <w:rsid w:val="00845849"/>
    <w:rsid w:val="008523B9"/>
    <w:rsid w:val="00856C1A"/>
    <w:rsid w:val="0088155D"/>
    <w:rsid w:val="00881D59"/>
    <w:rsid w:val="00885620"/>
    <w:rsid w:val="008A5B7C"/>
    <w:rsid w:val="008C4122"/>
    <w:rsid w:val="008C44DC"/>
    <w:rsid w:val="008D45DE"/>
    <w:rsid w:val="008D4892"/>
    <w:rsid w:val="008D71E5"/>
    <w:rsid w:val="008E60A3"/>
    <w:rsid w:val="008E7225"/>
    <w:rsid w:val="008E7C6E"/>
    <w:rsid w:val="008F55F8"/>
    <w:rsid w:val="0093363A"/>
    <w:rsid w:val="009345C5"/>
    <w:rsid w:val="00943C8B"/>
    <w:rsid w:val="00946A55"/>
    <w:rsid w:val="00951519"/>
    <w:rsid w:val="00962457"/>
    <w:rsid w:val="009804F5"/>
    <w:rsid w:val="0099074A"/>
    <w:rsid w:val="00995773"/>
    <w:rsid w:val="00996073"/>
    <w:rsid w:val="009A2700"/>
    <w:rsid w:val="009A553C"/>
    <w:rsid w:val="009C2889"/>
    <w:rsid w:val="009C2DD8"/>
    <w:rsid w:val="009C37E9"/>
    <w:rsid w:val="009C4905"/>
    <w:rsid w:val="009D7662"/>
    <w:rsid w:val="009E38C5"/>
    <w:rsid w:val="009E682C"/>
    <w:rsid w:val="009E766A"/>
    <w:rsid w:val="009F428F"/>
    <w:rsid w:val="00A040C9"/>
    <w:rsid w:val="00A050AB"/>
    <w:rsid w:val="00A1054D"/>
    <w:rsid w:val="00A15896"/>
    <w:rsid w:val="00A268AC"/>
    <w:rsid w:val="00A36880"/>
    <w:rsid w:val="00A37D6F"/>
    <w:rsid w:val="00A40A90"/>
    <w:rsid w:val="00A40C3C"/>
    <w:rsid w:val="00A426F9"/>
    <w:rsid w:val="00A51CF7"/>
    <w:rsid w:val="00A571FB"/>
    <w:rsid w:val="00A60CE7"/>
    <w:rsid w:val="00A91735"/>
    <w:rsid w:val="00A92383"/>
    <w:rsid w:val="00AA5439"/>
    <w:rsid w:val="00AB63E5"/>
    <w:rsid w:val="00AC4194"/>
    <w:rsid w:val="00AD68DA"/>
    <w:rsid w:val="00AE57EC"/>
    <w:rsid w:val="00AF0E28"/>
    <w:rsid w:val="00AF267A"/>
    <w:rsid w:val="00B03751"/>
    <w:rsid w:val="00B0528E"/>
    <w:rsid w:val="00B06051"/>
    <w:rsid w:val="00B16325"/>
    <w:rsid w:val="00B174D6"/>
    <w:rsid w:val="00B20D44"/>
    <w:rsid w:val="00B223E7"/>
    <w:rsid w:val="00B27740"/>
    <w:rsid w:val="00B5190D"/>
    <w:rsid w:val="00B54956"/>
    <w:rsid w:val="00B57AFB"/>
    <w:rsid w:val="00B63770"/>
    <w:rsid w:val="00B675FE"/>
    <w:rsid w:val="00B742E3"/>
    <w:rsid w:val="00B84A08"/>
    <w:rsid w:val="00B8548B"/>
    <w:rsid w:val="00B91AED"/>
    <w:rsid w:val="00B95DB9"/>
    <w:rsid w:val="00B96A23"/>
    <w:rsid w:val="00BA16AD"/>
    <w:rsid w:val="00BB207D"/>
    <w:rsid w:val="00BD0938"/>
    <w:rsid w:val="00BD3076"/>
    <w:rsid w:val="00BF302B"/>
    <w:rsid w:val="00C019E7"/>
    <w:rsid w:val="00C060D7"/>
    <w:rsid w:val="00C2404D"/>
    <w:rsid w:val="00C33129"/>
    <w:rsid w:val="00C40A26"/>
    <w:rsid w:val="00C4293F"/>
    <w:rsid w:val="00C44195"/>
    <w:rsid w:val="00C461BE"/>
    <w:rsid w:val="00C57095"/>
    <w:rsid w:val="00C601D0"/>
    <w:rsid w:val="00C64CC1"/>
    <w:rsid w:val="00C75ABC"/>
    <w:rsid w:val="00C93398"/>
    <w:rsid w:val="00C95888"/>
    <w:rsid w:val="00CA4FE5"/>
    <w:rsid w:val="00CB6A89"/>
    <w:rsid w:val="00CC00A7"/>
    <w:rsid w:val="00CC4567"/>
    <w:rsid w:val="00CC6004"/>
    <w:rsid w:val="00CD07C8"/>
    <w:rsid w:val="00CE0A82"/>
    <w:rsid w:val="00CE482F"/>
    <w:rsid w:val="00CE4D90"/>
    <w:rsid w:val="00CF011A"/>
    <w:rsid w:val="00CF1836"/>
    <w:rsid w:val="00D045AA"/>
    <w:rsid w:val="00D06C8D"/>
    <w:rsid w:val="00D12B4D"/>
    <w:rsid w:val="00D1685E"/>
    <w:rsid w:val="00D25F8C"/>
    <w:rsid w:val="00D26ABC"/>
    <w:rsid w:val="00D27078"/>
    <w:rsid w:val="00D311AF"/>
    <w:rsid w:val="00D345B4"/>
    <w:rsid w:val="00D36916"/>
    <w:rsid w:val="00D42B5B"/>
    <w:rsid w:val="00D45C2E"/>
    <w:rsid w:val="00D5320C"/>
    <w:rsid w:val="00D70BEF"/>
    <w:rsid w:val="00D76912"/>
    <w:rsid w:val="00D77026"/>
    <w:rsid w:val="00D804D6"/>
    <w:rsid w:val="00D82B0F"/>
    <w:rsid w:val="00D83468"/>
    <w:rsid w:val="00D94CA4"/>
    <w:rsid w:val="00DA42A3"/>
    <w:rsid w:val="00DA58C6"/>
    <w:rsid w:val="00DB50C7"/>
    <w:rsid w:val="00DC0A67"/>
    <w:rsid w:val="00DC0CDB"/>
    <w:rsid w:val="00DD7F5C"/>
    <w:rsid w:val="00DE3296"/>
    <w:rsid w:val="00DE71D2"/>
    <w:rsid w:val="00DF2D99"/>
    <w:rsid w:val="00DF4515"/>
    <w:rsid w:val="00E11FAE"/>
    <w:rsid w:val="00E1215C"/>
    <w:rsid w:val="00E1491D"/>
    <w:rsid w:val="00E17FEA"/>
    <w:rsid w:val="00E23AC4"/>
    <w:rsid w:val="00E40261"/>
    <w:rsid w:val="00E41949"/>
    <w:rsid w:val="00E4685E"/>
    <w:rsid w:val="00E52A80"/>
    <w:rsid w:val="00E66821"/>
    <w:rsid w:val="00E70BD2"/>
    <w:rsid w:val="00E719A7"/>
    <w:rsid w:val="00E80210"/>
    <w:rsid w:val="00E803AC"/>
    <w:rsid w:val="00EA2C08"/>
    <w:rsid w:val="00EA3772"/>
    <w:rsid w:val="00EA3C4F"/>
    <w:rsid w:val="00EA52E4"/>
    <w:rsid w:val="00EA5470"/>
    <w:rsid w:val="00EB0A6B"/>
    <w:rsid w:val="00EC2F19"/>
    <w:rsid w:val="00EC4938"/>
    <w:rsid w:val="00EE0D2B"/>
    <w:rsid w:val="00EF4C8A"/>
    <w:rsid w:val="00EF749B"/>
    <w:rsid w:val="00F1588B"/>
    <w:rsid w:val="00F362DE"/>
    <w:rsid w:val="00F43BD2"/>
    <w:rsid w:val="00F46A64"/>
    <w:rsid w:val="00F46C86"/>
    <w:rsid w:val="00F51DA2"/>
    <w:rsid w:val="00F84F40"/>
    <w:rsid w:val="00F945F2"/>
    <w:rsid w:val="00FB03EB"/>
    <w:rsid w:val="00FB2D81"/>
    <w:rsid w:val="00FB4E1D"/>
    <w:rsid w:val="00FC5F95"/>
    <w:rsid w:val="00FC7371"/>
    <w:rsid w:val="00FD6EA0"/>
    <w:rsid w:val="00FE48A3"/>
    <w:rsid w:val="00FF5E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3F5"/>
  <w15:chartTrackingRefBased/>
  <w15:docId w15:val="{0E616D9D-D694-4DD9-AAD9-623D67D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A0AB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A0ABA"/>
    <w:pPr>
      <w:spacing w:before="240" w:after="240"/>
      <w:outlineLvl w:val="1"/>
    </w:pPr>
    <w:rPr>
      <w:rFonts w:ascii="Arial Bold" w:hAnsi="Arial Bold"/>
      <w:b/>
      <w:sz w:val="26"/>
    </w:rPr>
  </w:style>
  <w:style w:type="paragraph" w:styleId="Heading3">
    <w:name w:val="heading 3"/>
    <w:basedOn w:val="HeadingBase"/>
    <w:next w:val="Normal"/>
    <w:link w:val="Heading3Char"/>
    <w:qFormat/>
    <w:rsid w:val="002A0ABA"/>
    <w:pPr>
      <w:spacing w:before="120" w:after="120"/>
      <w:outlineLvl w:val="2"/>
    </w:pPr>
    <w:rPr>
      <w:rFonts w:ascii="Arial Bold" w:hAnsi="Arial Bold"/>
      <w:b/>
      <w:sz w:val="22"/>
    </w:rPr>
  </w:style>
  <w:style w:type="paragraph" w:styleId="Heading4">
    <w:name w:val="heading 4"/>
    <w:basedOn w:val="HeadingBase"/>
    <w:next w:val="Normal"/>
    <w:link w:val="Heading4Char"/>
    <w:qFormat/>
    <w:rsid w:val="002A0ABA"/>
    <w:pPr>
      <w:spacing w:after="120"/>
      <w:outlineLvl w:val="3"/>
    </w:pPr>
    <w:rPr>
      <w:rFonts w:ascii="Arial Bold" w:hAnsi="Arial Bold"/>
      <w:b/>
      <w:sz w:val="20"/>
    </w:rPr>
  </w:style>
  <w:style w:type="paragraph" w:styleId="Heading5">
    <w:name w:val="heading 5"/>
    <w:basedOn w:val="HeadingBase"/>
    <w:next w:val="Normal"/>
    <w:link w:val="Heading5Char"/>
    <w:qFormat/>
    <w:rsid w:val="002A0ABA"/>
    <w:pPr>
      <w:spacing w:after="120"/>
      <w:outlineLvl w:val="4"/>
    </w:pPr>
    <w:rPr>
      <w:bCs/>
      <w:i/>
      <w:iCs/>
      <w:sz w:val="20"/>
      <w:szCs w:val="26"/>
    </w:rPr>
  </w:style>
  <w:style w:type="paragraph" w:styleId="Heading6">
    <w:name w:val="heading 6"/>
    <w:basedOn w:val="HeadingBase"/>
    <w:next w:val="Normal"/>
    <w:link w:val="Heading6Char"/>
    <w:rsid w:val="002A0ABA"/>
    <w:pPr>
      <w:spacing w:after="120"/>
      <w:outlineLvl w:val="5"/>
    </w:pPr>
    <w:rPr>
      <w:bCs/>
      <w:sz w:val="20"/>
      <w:szCs w:val="22"/>
    </w:rPr>
  </w:style>
  <w:style w:type="paragraph" w:styleId="Heading7">
    <w:name w:val="heading 7"/>
    <w:next w:val="Normal"/>
    <w:link w:val="Heading7Char"/>
    <w:rsid w:val="002A0ABA"/>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rsid w:val="002A0ABA"/>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rsid w:val="002A0ABA"/>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2A0ABA"/>
    <w:pPr>
      <w:tabs>
        <w:tab w:val="center" w:pos="4153"/>
        <w:tab w:val="right" w:pos="8306"/>
      </w:tabs>
    </w:pPr>
  </w:style>
  <w:style w:type="character" w:customStyle="1" w:styleId="HeaderChar">
    <w:name w:val="Header Char"/>
    <w:basedOn w:val="DefaultParagraphFont"/>
    <w:link w:val="Header"/>
    <w:rsid w:val="002A0AB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2A0ABA"/>
    <w:pPr>
      <w:tabs>
        <w:tab w:val="center" w:pos="4153"/>
        <w:tab w:val="right" w:pos="8306"/>
      </w:tabs>
    </w:pPr>
  </w:style>
  <w:style w:type="character" w:customStyle="1" w:styleId="FooterChar">
    <w:name w:val="Footer Char"/>
    <w:basedOn w:val="DefaultParagraphFont"/>
    <w:link w:val="Footer"/>
    <w:rsid w:val="002A0AB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2A0AB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2A0AB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2A0AB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2A0AB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2A0AB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2A0AB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2A0AB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2A0AB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2A0ABA"/>
    <w:pPr>
      <w:jc w:val="center"/>
    </w:pPr>
    <w:rPr>
      <w:rFonts w:ascii="Arial Bold" w:hAnsi="Arial Bold"/>
      <w:b/>
      <w:caps/>
      <w:sz w:val="22"/>
    </w:rPr>
  </w:style>
  <w:style w:type="paragraph" w:customStyle="1" w:styleId="FileProperties">
    <w:name w:val="File Properties"/>
    <w:basedOn w:val="Normal"/>
    <w:rsid w:val="002A0ABA"/>
    <w:pPr>
      <w:spacing w:before="0"/>
    </w:pPr>
    <w:rPr>
      <w:i/>
    </w:rPr>
  </w:style>
  <w:style w:type="paragraph" w:customStyle="1" w:styleId="AlphaParagraph">
    <w:name w:val="Alpha Paragraph"/>
    <w:basedOn w:val="Normal"/>
    <w:rsid w:val="002A0ABA"/>
    <w:pPr>
      <w:numPr>
        <w:numId w:val="1"/>
      </w:numPr>
      <w:tabs>
        <w:tab w:val="clear" w:pos="567"/>
        <w:tab w:val="num" w:pos="360"/>
      </w:tabs>
      <w:ind w:left="0" w:firstLine="0"/>
    </w:pPr>
  </w:style>
  <w:style w:type="paragraph" w:customStyle="1" w:styleId="HeadingBase">
    <w:name w:val="Heading Base"/>
    <w:rsid w:val="002A0ABA"/>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D12B4D"/>
    <w:pPr>
      <w:spacing w:after="240"/>
      <w:jc w:val="center"/>
      <w:outlineLvl w:val="3"/>
    </w:pPr>
    <w:rPr>
      <w:b/>
      <w:smallCaps/>
      <w:sz w:val="30"/>
    </w:rPr>
  </w:style>
  <w:style w:type="paragraph" w:styleId="BalloonText">
    <w:name w:val="Balloon Text"/>
    <w:basedOn w:val="Normal"/>
    <w:link w:val="BalloonTextChar"/>
    <w:rsid w:val="00D12B4D"/>
    <w:rPr>
      <w:rFonts w:ascii="Tahoma" w:hAnsi="Tahoma" w:cs="Tahoma"/>
      <w:sz w:val="16"/>
      <w:szCs w:val="16"/>
    </w:rPr>
  </w:style>
  <w:style w:type="character" w:customStyle="1" w:styleId="BalloonTextChar">
    <w:name w:val="Balloon Text Char"/>
    <w:basedOn w:val="DefaultParagraphFont"/>
    <w:link w:val="BalloonText"/>
    <w:rsid w:val="00D12B4D"/>
    <w:rPr>
      <w:rFonts w:ascii="Tahoma" w:eastAsia="Times New Roman" w:hAnsi="Tahoma" w:cs="Tahoma"/>
      <w:sz w:val="16"/>
      <w:szCs w:val="16"/>
      <w:lang w:eastAsia="en-AU"/>
    </w:rPr>
  </w:style>
  <w:style w:type="paragraph" w:customStyle="1" w:styleId="BlockedQuotation">
    <w:name w:val="Blocked Quotation"/>
    <w:basedOn w:val="Normal"/>
    <w:rsid w:val="00D12B4D"/>
    <w:pPr>
      <w:ind w:left="567"/>
    </w:pPr>
  </w:style>
  <w:style w:type="paragraph" w:customStyle="1" w:styleId="BoxText">
    <w:name w:val="Box Text"/>
    <w:basedOn w:val="Normal"/>
    <w:qFormat/>
    <w:rsid w:val="002A0ABA"/>
    <w:pPr>
      <w:spacing w:before="120" w:after="120" w:line="240" w:lineRule="auto"/>
    </w:pPr>
  </w:style>
  <w:style w:type="paragraph" w:customStyle="1" w:styleId="BoxBullet">
    <w:name w:val="Box Bullet"/>
    <w:basedOn w:val="BoxText"/>
    <w:rsid w:val="002A0ABA"/>
    <w:pPr>
      <w:numPr>
        <w:numId w:val="2"/>
      </w:numPr>
    </w:pPr>
  </w:style>
  <w:style w:type="paragraph" w:customStyle="1" w:styleId="BoxHeading">
    <w:name w:val="Box Heading"/>
    <w:basedOn w:val="HeadingBase"/>
    <w:next w:val="BoxText"/>
    <w:rsid w:val="002A0ABA"/>
    <w:pPr>
      <w:spacing w:before="120" w:after="120"/>
    </w:pPr>
    <w:rPr>
      <w:b/>
      <w:sz w:val="20"/>
    </w:rPr>
  </w:style>
  <w:style w:type="character" w:customStyle="1" w:styleId="Heading6Char">
    <w:name w:val="Heading 6 Char"/>
    <w:basedOn w:val="DefaultParagraphFont"/>
    <w:link w:val="Heading6"/>
    <w:rsid w:val="002A0ABA"/>
    <w:rPr>
      <w:rFonts w:ascii="Arial" w:eastAsia="Times New Roman" w:hAnsi="Arial" w:cs="Times New Roman"/>
      <w:bCs/>
      <w:sz w:val="20"/>
      <w:lang w:eastAsia="en-AU"/>
    </w:rPr>
  </w:style>
  <w:style w:type="paragraph" w:customStyle="1" w:styleId="BoxSubHeading">
    <w:name w:val="Box Sub Heading"/>
    <w:basedOn w:val="Heading6"/>
    <w:rsid w:val="00D12B4D"/>
    <w:pPr>
      <w:spacing w:before="120" w:after="40"/>
    </w:pPr>
  </w:style>
  <w:style w:type="paragraph" w:customStyle="1" w:styleId="Bullet">
    <w:name w:val="Bullet"/>
    <w:basedOn w:val="Normal"/>
    <w:qFormat/>
    <w:rsid w:val="002A0ABA"/>
    <w:pPr>
      <w:numPr>
        <w:numId w:val="3"/>
      </w:numPr>
      <w:spacing w:after="160"/>
      <w:ind w:left="284" w:hanging="284"/>
    </w:pPr>
  </w:style>
  <w:style w:type="paragraph" w:styleId="Caption">
    <w:name w:val="caption"/>
    <w:basedOn w:val="Normal"/>
    <w:next w:val="Normal"/>
    <w:rsid w:val="002A0ABA"/>
    <w:rPr>
      <w:b/>
      <w:bCs/>
    </w:rPr>
  </w:style>
  <w:style w:type="paragraph" w:customStyle="1" w:styleId="ChartandTableFootnote">
    <w:name w:val="Chart and Table Footnote"/>
    <w:basedOn w:val="HeadingBase"/>
    <w:next w:val="Normal"/>
    <w:rsid w:val="002A0AB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2A0ABA"/>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2A0ABA"/>
    <w:pPr>
      <w:keepNext w:val="0"/>
      <w:tabs>
        <w:tab w:val="left" w:pos="284"/>
      </w:tabs>
      <w:jc w:val="both"/>
    </w:pPr>
    <w:rPr>
      <w:color w:val="000000"/>
      <w:sz w:val="15"/>
    </w:rPr>
  </w:style>
  <w:style w:type="paragraph" w:customStyle="1" w:styleId="ChartGraphic">
    <w:name w:val="Chart Graphic"/>
    <w:basedOn w:val="HeadingBase"/>
    <w:rsid w:val="002A0ABA"/>
    <w:rPr>
      <w:sz w:val="20"/>
    </w:rPr>
  </w:style>
  <w:style w:type="paragraph" w:customStyle="1" w:styleId="ChartHeading">
    <w:name w:val="Chart Heading"/>
    <w:basedOn w:val="HeadingBase"/>
    <w:next w:val="ChartGraphic"/>
    <w:qFormat/>
    <w:rsid w:val="00D12B4D"/>
    <w:pPr>
      <w:spacing w:before="120" w:after="20"/>
      <w:jc w:val="center"/>
    </w:pPr>
    <w:rPr>
      <w:b/>
      <w:sz w:val="20"/>
    </w:rPr>
  </w:style>
  <w:style w:type="paragraph" w:customStyle="1" w:styleId="ChartMainHeading">
    <w:name w:val="Chart Main Heading"/>
    <w:basedOn w:val="Normal"/>
    <w:next w:val="ChartGraphic"/>
    <w:rsid w:val="002A0ABA"/>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2A0ABA"/>
    <w:pPr>
      <w:spacing w:after="60"/>
    </w:pPr>
    <w:rPr>
      <w:sz w:val="19"/>
    </w:rPr>
  </w:style>
  <w:style w:type="character" w:styleId="CommentReference">
    <w:name w:val="annotation reference"/>
    <w:basedOn w:val="DefaultParagraphFont"/>
    <w:semiHidden/>
    <w:rsid w:val="002A0ABA"/>
    <w:rPr>
      <w:sz w:val="16"/>
      <w:szCs w:val="16"/>
    </w:rPr>
  </w:style>
  <w:style w:type="paragraph" w:styleId="CommentText">
    <w:name w:val="annotation text"/>
    <w:basedOn w:val="Normal"/>
    <w:link w:val="CommentTextChar"/>
    <w:semiHidden/>
    <w:rsid w:val="002A0ABA"/>
  </w:style>
  <w:style w:type="character" w:customStyle="1" w:styleId="CommentTextChar">
    <w:name w:val="Comment Text Char"/>
    <w:basedOn w:val="DefaultParagraphFont"/>
    <w:link w:val="CommentText"/>
    <w:semiHidden/>
    <w:rsid w:val="002A0AB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2A0ABA"/>
    <w:rPr>
      <w:b/>
      <w:bCs/>
    </w:rPr>
  </w:style>
  <w:style w:type="character" w:customStyle="1" w:styleId="CommentSubjectChar">
    <w:name w:val="Comment Subject Char"/>
    <w:basedOn w:val="CommentTextChar"/>
    <w:link w:val="CommentSubject"/>
    <w:semiHidden/>
    <w:rsid w:val="002A0AB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2A0ABA"/>
    <w:pPr>
      <w:spacing w:after="720"/>
      <w:outlineLvl w:val="9"/>
    </w:pPr>
  </w:style>
  <w:style w:type="paragraph" w:customStyle="1" w:styleId="ContentsnoToC">
    <w:name w:val="Contents no ToC"/>
    <w:basedOn w:val="ContentsHeading"/>
    <w:rsid w:val="00D12B4D"/>
  </w:style>
  <w:style w:type="paragraph" w:customStyle="1" w:styleId="Dash">
    <w:name w:val="Dash"/>
    <w:basedOn w:val="Normal"/>
    <w:qFormat/>
    <w:rsid w:val="002A0ABA"/>
    <w:pPr>
      <w:numPr>
        <w:ilvl w:val="1"/>
        <w:numId w:val="3"/>
      </w:numPr>
      <w:tabs>
        <w:tab w:val="left" w:pos="567"/>
      </w:tabs>
    </w:pPr>
  </w:style>
  <w:style w:type="paragraph" w:styleId="DocumentMap">
    <w:name w:val="Document Map"/>
    <w:basedOn w:val="Normal"/>
    <w:link w:val="DocumentMapChar"/>
    <w:semiHidden/>
    <w:rsid w:val="002A0ABA"/>
    <w:pPr>
      <w:shd w:val="clear" w:color="auto" w:fill="000080"/>
    </w:pPr>
    <w:rPr>
      <w:rFonts w:ascii="Tahoma" w:hAnsi="Tahoma" w:cs="Tahoma"/>
    </w:rPr>
  </w:style>
  <w:style w:type="character" w:customStyle="1" w:styleId="DocumentMapChar">
    <w:name w:val="Document Map Char"/>
    <w:basedOn w:val="DefaultParagraphFont"/>
    <w:link w:val="DocumentMap"/>
    <w:semiHidden/>
    <w:rsid w:val="002A0ABA"/>
    <w:rPr>
      <w:rFonts w:ascii="Tahoma" w:eastAsia="Times New Roman" w:hAnsi="Tahoma" w:cs="Tahoma"/>
      <w:sz w:val="19"/>
      <w:szCs w:val="20"/>
      <w:shd w:val="clear" w:color="auto" w:fill="000080"/>
      <w:lang w:eastAsia="en-AU"/>
    </w:rPr>
  </w:style>
  <w:style w:type="paragraph" w:customStyle="1" w:styleId="DoubleDot">
    <w:name w:val="Double Dot"/>
    <w:basedOn w:val="Normal"/>
    <w:rsid w:val="002A0ABA"/>
    <w:pPr>
      <w:numPr>
        <w:ilvl w:val="2"/>
        <w:numId w:val="3"/>
      </w:numPr>
      <w:tabs>
        <w:tab w:val="clear" w:pos="850"/>
        <w:tab w:val="num" w:pos="360"/>
        <w:tab w:val="left" w:pos="851"/>
      </w:tabs>
    </w:pPr>
  </w:style>
  <w:style w:type="character" w:styleId="EndnoteReference">
    <w:name w:val="endnote reference"/>
    <w:basedOn w:val="DefaultParagraphFont"/>
    <w:unhideWhenUsed/>
    <w:rsid w:val="00D12B4D"/>
    <w:rPr>
      <w:vertAlign w:val="superscript"/>
    </w:rPr>
  </w:style>
  <w:style w:type="paragraph" w:styleId="EndnoteText">
    <w:name w:val="endnote text"/>
    <w:basedOn w:val="Normal"/>
    <w:link w:val="EndnoteTextChar"/>
    <w:unhideWhenUsed/>
    <w:rsid w:val="00D12B4D"/>
  </w:style>
  <w:style w:type="character" w:customStyle="1" w:styleId="EndnoteTextChar">
    <w:name w:val="Endnote Text Char"/>
    <w:basedOn w:val="DefaultParagraphFont"/>
    <w:link w:val="EndnoteText"/>
    <w:rsid w:val="00D12B4D"/>
    <w:rPr>
      <w:rFonts w:ascii="Book Antiqua" w:eastAsia="Times New Roman" w:hAnsi="Book Antiqua" w:cs="Times New Roman"/>
      <w:sz w:val="19"/>
      <w:szCs w:val="20"/>
      <w:lang w:eastAsia="en-AU"/>
    </w:rPr>
  </w:style>
  <w:style w:type="paragraph" w:customStyle="1" w:styleId="FigureHeading">
    <w:name w:val="Figure Heading"/>
    <w:basedOn w:val="HeadingBase"/>
    <w:next w:val="ChartGraphic"/>
    <w:rsid w:val="002A0ABA"/>
    <w:pPr>
      <w:spacing w:before="120" w:after="20"/>
    </w:pPr>
    <w:rPr>
      <w:b/>
      <w:sz w:val="20"/>
    </w:rPr>
  </w:style>
  <w:style w:type="paragraph" w:customStyle="1" w:styleId="FooterBase">
    <w:name w:val="Footer Base"/>
    <w:rsid w:val="002A0AB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2A0ABA"/>
    <w:pPr>
      <w:pBdr>
        <w:top w:val="single" w:sz="4" w:space="10" w:color="002A54" w:themeColor="text2"/>
      </w:pBdr>
      <w:jc w:val="left"/>
    </w:pPr>
    <w:rPr>
      <w:sz w:val="18"/>
    </w:rPr>
  </w:style>
  <w:style w:type="paragraph" w:customStyle="1" w:styleId="FooterOdd">
    <w:name w:val="Footer Odd"/>
    <w:basedOn w:val="Footer"/>
    <w:qFormat/>
    <w:rsid w:val="002A0ABA"/>
    <w:pPr>
      <w:pBdr>
        <w:top w:val="single" w:sz="4" w:space="10" w:color="002A54" w:themeColor="text2"/>
      </w:pBdr>
      <w:jc w:val="right"/>
    </w:pPr>
    <w:rPr>
      <w:sz w:val="18"/>
    </w:rPr>
  </w:style>
  <w:style w:type="character" w:styleId="FootnoteReference">
    <w:name w:val="footnote reference"/>
    <w:basedOn w:val="DefaultParagraphFont"/>
    <w:rsid w:val="002A0ABA"/>
    <w:rPr>
      <w:vertAlign w:val="superscript"/>
    </w:rPr>
  </w:style>
  <w:style w:type="paragraph" w:styleId="FootnoteText">
    <w:name w:val="footnote text"/>
    <w:basedOn w:val="Normal"/>
    <w:link w:val="FootnoteTextChar"/>
    <w:rsid w:val="002A0AB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2A0ABA"/>
    <w:rPr>
      <w:rFonts w:ascii="Book Antiqua" w:eastAsia="Times New Roman" w:hAnsi="Book Antiqua" w:cs="Times New Roman"/>
      <w:sz w:val="18"/>
      <w:szCs w:val="20"/>
      <w:lang w:eastAsia="en-AU"/>
    </w:rPr>
  </w:style>
  <w:style w:type="character" w:customStyle="1" w:styleId="FramedHeader">
    <w:name w:val="Framed Header"/>
    <w:basedOn w:val="DefaultParagraphFont"/>
    <w:rsid w:val="002A0ABA"/>
    <w:rPr>
      <w:rFonts w:ascii="Book Antiqua" w:hAnsi="Book Antiqua"/>
      <w:i/>
      <w:dstrike w:val="0"/>
      <w:color w:val="auto"/>
      <w:sz w:val="20"/>
      <w:vertAlign w:val="baseline"/>
    </w:rPr>
  </w:style>
  <w:style w:type="paragraph" w:customStyle="1" w:styleId="HeaderBase">
    <w:name w:val="Header Base"/>
    <w:rsid w:val="002A0AB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A0ABA"/>
  </w:style>
  <w:style w:type="paragraph" w:customStyle="1" w:styleId="HeaderOdd">
    <w:name w:val="Header Odd"/>
    <w:basedOn w:val="HeaderBase"/>
    <w:rsid w:val="002A0ABA"/>
    <w:pPr>
      <w:jc w:val="right"/>
    </w:pPr>
  </w:style>
  <w:style w:type="character" w:customStyle="1" w:styleId="Heading1Char">
    <w:name w:val="Heading 1 Char"/>
    <w:basedOn w:val="DefaultParagraphFont"/>
    <w:link w:val="Heading1"/>
    <w:rsid w:val="002A0AB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A0AB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A0ABA"/>
    <w:rPr>
      <w:rFonts w:ascii="Arial Bold" w:eastAsia="Times New Roman" w:hAnsi="Arial Bold" w:cs="Times New Roman"/>
      <w:b/>
      <w:szCs w:val="20"/>
      <w:lang w:eastAsia="en-AU"/>
    </w:rPr>
  </w:style>
  <w:style w:type="paragraph" w:customStyle="1" w:styleId="Heading3noTOC">
    <w:name w:val="Heading 3 no TOC"/>
    <w:basedOn w:val="Heading3"/>
    <w:rsid w:val="002A0ABA"/>
    <w:pPr>
      <w:outlineLvl w:val="9"/>
    </w:pPr>
  </w:style>
  <w:style w:type="character" w:customStyle="1" w:styleId="Heading4Char">
    <w:name w:val="Heading 4 Char"/>
    <w:basedOn w:val="DefaultParagraphFont"/>
    <w:link w:val="Heading4"/>
    <w:rsid w:val="002A0AB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A0AB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A0AB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A0ABA"/>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2A0ABA"/>
    <w:rPr>
      <w:rFonts w:ascii="Times New Roman" w:hAnsi="Times New Roman"/>
      <w:vanish/>
      <w:sz w:val="16"/>
    </w:rPr>
  </w:style>
  <w:style w:type="character" w:styleId="Hyperlink">
    <w:name w:val="Hyperlink"/>
    <w:basedOn w:val="DefaultParagraphFont"/>
    <w:uiPriority w:val="99"/>
    <w:unhideWhenUsed/>
    <w:rsid w:val="002A0ABA"/>
    <w:rPr>
      <w:color w:val="auto"/>
      <w:u w:val="single"/>
    </w:rPr>
  </w:style>
  <w:style w:type="paragraph" w:styleId="Index1">
    <w:name w:val="index 1"/>
    <w:basedOn w:val="Normal"/>
    <w:next w:val="Normal"/>
    <w:rsid w:val="00D12B4D"/>
    <w:pPr>
      <w:ind w:left="200" w:hanging="200"/>
    </w:pPr>
  </w:style>
  <w:style w:type="paragraph" w:styleId="Index2">
    <w:name w:val="index 2"/>
    <w:basedOn w:val="Normal"/>
    <w:next w:val="Normal"/>
    <w:rsid w:val="00D12B4D"/>
    <w:pPr>
      <w:ind w:left="400" w:hanging="200"/>
    </w:pPr>
  </w:style>
  <w:style w:type="paragraph" w:styleId="Index3">
    <w:name w:val="index 3"/>
    <w:basedOn w:val="Normal"/>
    <w:next w:val="Normal"/>
    <w:rsid w:val="00D12B4D"/>
    <w:pPr>
      <w:ind w:left="600" w:hanging="200"/>
    </w:pPr>
  </w:style>
  <w:style w:type="paragraph" w:styleId="Index4">
    <w:name w:val="index 4"/>
    <w:basedOn w:val="Normal"/>
    <w:next w:val="Normal"/>
    <w:autoRedefine/>
    <w:semiHidden/>
    <w:rsid w:val="002A0ABA"/>
    <w:pPr>
      <w:ind w:left="800" w:hanging="200"/>
    </w:pPr>
  </w:style>
  <w:style w:type="paragraph" w:styleId="Index5">
    <w:name w:val="index 5"/>
    <w:basedOn w:val="Normal"/>
    <w:next w:val="Normal"/>
    <w:autoRedefine/>
    <w:semiHidden/>
    <w:rsid w:val="002A0ABA"/>
    <w:pPr>
      <w:ind w:left="1000" w:hanging="200"/>
    </w:pPr>
  </w:style>
  <w:style w:type="paragraph" w:styleId="Index6">
    <w:name w:val="index 6"/>
    <w:basedOn w:val="Normal"/>
    <w:next w:val="Normal"/>
    <w:autoRedefine/>
    <w:semiHidden/>
    <w:rsid w:val="002A0ABA"/>
    <w:pPr>
      <w:ind w:left="1200" w:hanging="200"/>
    </w:pPr>
  </w:style>
  <w:style w:type="paragraph" w:styleId="Index7">
    <w:name w:val="index 7"/>
    <w:basedOn w:val="Normal"/>
    <w:next w:val="Normal"/>
    <w:autoRedefine/>
    <w:semiHidden/>
    <w:rsid w:val="002A0ABA"/>
    <w:pPr>
      <w:ind w:left="1400" w:hanging="200"/>
    </w:pPr>
  </w:style>
  <w:style w:type="paragraph" w:styleId="Index8">
    <w:name w:val="index 8"/>
    <w:basedOn w:val="Normal"/>
    <w:next w:val="Normal"/>
    <w:autoRedefine/>
    <w:semiHidden/>
    <w:rsid w:val="002A0ABA"/>
    <w:pPr>
      <w:ind w:left="1600" w:hanging="200"/>
    </w:pPr>
  </w:style>
  <w:style w:type="paragraph" w:styleId="Index9">
    <w:name w:val="index 9"/>
    <w:basedOn w:val="Normal"/>
    <w:next w:val="Normal"/>
    <w:autoRedefine/>
    <w:semiHidden/>
    <w:rsid w:val="002A0ABA"/>
    <w:pPr>
      <w:ind w:left="1800" w:hanging="200"/>
    </w:pPr>
  </w:style>
  <w:style w:type="paragraph" w:styleId="IndexHeading">
    <w:name w:val="index heading"/>
    <w:basedOn w:val="Normal"/>
    <w:next w:val="Index1"/>
    <w:rsid w:val="00D12B4D"/>
    <w:rPr>
      <w:rFonts w:ascii="Arial Bold" w:hAnsi="Arial Bold" w:cs="Arial"/>
      <w:b/>
      <w:bCs/>
      <w:color w:val="002B54"/>
    </w:rPr>
  </w:style>
  <w:style w:type="paragraph" w:styleId="MacroText">
    <w:name w:val="macro"/>
    <w:link w:val="MacroTextChar"/>
    <w:unhideWhenUsed/>
    <w:rsid w:val="002A0AB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2A0ABA"/>
    <w:rPr>
      <w:rFonts w:ascii="Courier New" w:eastAsia="Times New Roman" w:hAnsi="Courier New" w:cs="Courier New"/>
      <w:sz w:val="20"/>
      <w:szCs w:val="20"/>
      <w:lang w:eastAsia="en-AU"/>
    </w:rPr>
  </w:style>
  <w:style w:type="paragraph" w:styleId="NormalIndent">
    <w:name w:val="Normal Indent"/>
    <w:basedOn w:val="Normal"/>
    <w:rsid w:val="002A0ABA"/>
    <w:pPr>
      <w:ind w:left="567"/>
    </w:pPr>
  </w:style>
  <w:style w:type="paragraph" w:customStyle="1" w:styleId="NoteTableHeading">
    <w:name w:val="Note Table Heading"/>
    <w:basedOn w:val="HeadingBase"/>
    <w:next w:val="Normal"/>
    <w:rsid w:val="002A0ABA"/>
    <w:pPr>
      <w:spacing w:before="240"/>
    </w:pPr>
    <w:rPr>
      <w:b/>
      <w:sz w:val="20"/>
    </w:rPr>
  </w:style>
  <w:style w:type="paragraph" w:customStyle="1" w:styleId="OverviewParagraph">
    <w:name w:val="Overview Paragraph"/>
    <w:basedOn w:val="Normal"/>
    <w:rsid w:val="002A0ABA"/>
    <w:pPr>
      <w:spacing w:before="120" w:after="120" w:line="240" w:lineRule="auto"/>
    </w:pPr>
  </w:style>
  <w:style w:type="character" w:styleId="PageNumber">
    <w:name w:val="page number"/>
    <w:basedOn w:val="DefaultParagraphFont"/>
    <w:rsid w:val="002A0ABA"/>
    <w:rPr>
      <w:rFonts w:ascii="Arial" w:hAnsi="Arial" w:cs="Arial"/>
    </w:rPr>
  </w:style>
  <w:style w:type="paragraph" w:customStyle="1" w:styleId="SingleParagraph">
    <w:name w:val="Single Paragraph"/>
    <w:basedOn w:val="Normal"/>
    <w:rsid w:val="002A0ABA"/>
    <w:pPr>
      <w:spacing w:before="0" w:after="0"/>
    </w:pPr>
  </w:style>
  <w:style w:type="paragraph" w:customStyle="1" w:styleId="Source">
    <w:name w:val="Source"/>
    <w:basedOn w:val="Normal"/>
    <w:rsid w:val="002A0ABA"/>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D12B4D"/>
    <w:pPr>
      <w:spacing w:after="120"/>
    </w:pPr>
  </w:style>
  <w:style w:type="paragraph" w:customStyle="1" w:styleId="TableColumnHeadingBase">
    <w:name w:val="Table Column Heading Base"/>
    <w:basedOn w:val="Normal"/>
    <w:rsid w:val="002A0AB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A0ABA"/>
    <w:pPr>
      <w:jc w:val="center"/>
    </w:pPr>
  </w:style>
  <w:style w:type="paragraph" w:customStyle="1" w:styleId="TableColumnHeadingLeft">
    <w:name w:val="Table Column Heading Left"/>
    <w:basedOn w:val="TableColumnHeadingBase"/>
    <w:next w:val="Normal"/>
    <w:rsid w:val="002A0ABA"/>
  </w:style>
  <w:style w:type="paragraph" w:customStyle="1" w:styleId="TableColumnHeadingRight">
    <w:name w:val="Table Column Heading Right"/>
    <w:basedOn w:val="TableColumnHeadingBase"/>
    <w:next w:val="Normal"/>
    <w:rsid w:val="002A0ABA"/>
    <w:pPr>
      <w:jc w:val="right"/>
    </w:pPr>
  </w:style>
  <w:style w:type="paragraph" w:customStyle="1" w:styleId="TableColumnHeadingS118pt">
    <w:name w:val="Table Column Heading S11 8 pt"/>
    <w:basedOn w:val="TableColumnHeadingBase"/>
    <w:rsid w:val="00D12B4D"/>
    <w:pPr>
      <w:spacing w:after="0"/>
    </w:pPr>
    <w:rPr>
      <w:rFonts w:ascii="Arial" w:hAnsi="Arial"/>
    </w:rPr>
  </w:style>
  <w:style w:type="paragraph" w:customStyle="1" w:styleId="TableColumnHeadingS119pt">
    <w:name w:val="Table Column Heading S11 9 pt"/>
    <w:basedOn w:val="TableColumnHeadingBase"/>
    <w:rsid w:val="00D12B4D"/>
    <w:pPr>
      <w:spacing w:before="60" w:after="60"/>
    </w:pPr>
    <w:rPr>
      <w:rFonts w:ascii="Arial" w:hAnsi="Arial"/>
      <w:sz w:val="18"/>
    </w:rPr>
  </w:style>
  <w:style w:type="paragraph" w:customStyle="1" w:styleId="TableGraphic">
    <w:name w:val="Table Graphic"/>
    <w:basedOn w:val="Normal"/>
    <w:next w:val="Normal"/>
    <w:rsid w:val="002A0ABA"/>
    <w:pPr>
      <w:spacing w:after="0" w:line="240" w:lineRule="auto"/>
      <w:ind w:right="-113"/>
    </w:pPr>
  </w:style>
  <w:style w:type="table" w:styleId="TableGrid">
    <w:name w:val="Table Grid"/>
    <w:basedOn w:val="TableNormal"/>
    <w:rsid w:val="002A0AB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A0ABA"/>
    <w:pPr>
      <w:spacing w:before="120" w:after="20"/>
    </w:pPr>
    <w:rPr>
      <w:b/>
      <w:sz w:val="20"/>
    </w:rPr>
  </w:style>
  <w:style w:type="paragraph" w:customStyle="1" w:styleId="TableHeadingcontinued">
    <w:name w:val="Table Heading continued"/>
    <w:basedOn w:val="HeadingBase"/>
    <w:next w:val="TableGraphic"/>
    <w:rsid w:val="002A0ABA"/>
    <w:pPr>
      <w:spacing w:before="120" w:after="20"/>
    </w:pPr>
    <w:rPr>
      <w:rFonts w:ascii="Arial Bold" w:hAnsi="Arial Bold"/>
      <w:b/>
      <w:sz w:val="20"/>
    </w:rPr>
  </w:style>
  <w:style w:type="paragraph" w:styleId="TableofAuthorities">
    <w:name w:val="table of authorities"/>
    <w:basedOn w:val="Normal"/>
    <w:next w:val="Normal"/>
    <w:rsid w:val="00D12B4D"/>
    <w:pPr>
      <w:ind w:left="200" w:hanging="200"/>
    </w:pPr>
  </w:style>
  <w:style w:type="paragraph" w:styleId="TableofFigures">
    <w:name w:val="table of figures"/>
    <w:basedOn w:val="Normal"/>
    <w:next w:val="Normal"/>
    <w:rsid w:val="002A0ABA"/>
  </w:style>
  <w:style w:type="paragraph" w:customStyle="1" w:styleId="TableTextBase">
    <w:name w:val="Table Text Base"/>
    <w:basedOn w:val="Normal"/>
    <w:rsid w:val="002A0ABA"/>
    <w:pPr>
      <w:spacing w:before="20" w:after="20" w:line="240" w:lineRule="auto"/>
    </w:pPr>
    <w:rPr>
      <w:rFonts w:ascii="Arial" w:hAnsi="Arial"/>
      <w:sz w:val="16"/>
    </w:rPr>
  </w:style>
  <w:style w:type="paragraph" w:customStyle="1" w:styleId="TableTextCentred">
    <w:name w:val="Table Text Centred"/>
    <w:basedOn w:val="TableTextBase"/>
    <w:rsid w:val="002A0ABA"/>
    <w:pPr>
      <w:jc w:val="center"/>
    </w:pPr>
  </w:style>
  <w:style w:type="paragraph" w:customStyle="1" w:styleId="TableTextIndented">
    <w:name w:val="Table Text Indented"/>
    <w:basedOn w:val="TableTextBase"/>
    <w:rsid w:val="002A0ABA"/>
    <w:pPr>
      <w:ind w:left="284"/>
    </w:pPr>
  </w:style>
  <w:style w:type="paragraph" w:customStyle="1" w:styleId="TableTextLeft">
    <w:name w:val="Table Text Left"/>
    <w:basedOn w:val="TableTextBase"/>
    <w:rsid w:val="002A0ABA"/>
  </w:style>
  <w:style w:type="paragraph" w:customStyle="1" w:styleId="TableTextRight">
    <w:name w:val="Table Text Right"/>
    <w:basedOn w:val="TableTextBase"/>
    <w:rsid w:val="002A0ABA"/>
    <w:pPr>
      <w:jc w:val="right"/>
    </w:pPr>
  </w:style>
  <w:style w:type="paragraph" w:styleId="TOAHeading">
    <w:name w:val="toa heading"/>
    <w:basedOn w:val="Normal"/>
    <w:next w:val="Normal"/>
    <w:rsid w:val="002A0ABA"/>
    <w:pPr>
      <w:spacing w:before="120"/>
    </w:pPr>
    <w:rPr>
      <w:rFonts w:ascii="Arial" w:hAnsi="Arial" w:cs="Arial"/>
      <w:b/>
      <w:bCs/>
      <w:sz w:val="24"/>
      <w:szCs w:val="24"/>
    </w:rPr>
  </w:style>
  <w:style w:type="paragraph" w:styleId="TOC1">
    <w:name w:val="toc 1"/>
    <w:basedOn w:val="HeaderBase"/>
    <w:next w:val="Normal"/>
    <w:uiPriority w:val="39"/>
    <w:rsid w:val="002A0AB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link w:val="TOC2Char"/>
    <w:uiPriority w:val="39"/>
    <w:rsid w:val="002A0AB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2A0ABA"/>
    <w:pPr>
      <w:tabs>
        <w:tab w:val="right" w:leader="dot" w:pos="7700"/>
      </w:tabs>
      <w:spacing w:before="40"/>
      <w:ind w:right="851"/>
    </w:pPr>
    <w:rPr>
      <w:sz w:val="20"/>
    </w:rPr>
  </w:style>
  <w:style w:type="paragraph" w:styleId="TOC4">
    <w:name w:val="toc 4"/>
    <w:basedOn w:val="HeadingBase"/>
    <w:next w:val="Normal"/>
    <w:uiPriority w:val="2"/>
    <w:unhideWhenUsed/>
    <w:rsid w:val="002A0ABA"/>
    <w:pPr>
      <w:tabs>
        <w:tab w:val="right" w:leader="dot" w:pos="7700"/>
      </w:tabs>
      <w:spacing w:before="40"/>
      <w:ind w:right="851"/>
    </w:pPr>
    <w:rPr>
      <w:sz w:val="20"/>
    </w:rPr>
  </w:style>
  <w:style w:type="paragraph" w:styleId="TOC5">
    <w:name w:val="toc 5"/>
    <w:basedOn w:val="Normal"/>
    <w:next w:val="Normal"/>
    <w:autoRedefine/>
    <w:uiPriority w:val="2"/>
    <w:semiHidden/>
    <w:rsid w:val="002A0AB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2A0ABA"/>
    <w:pPr>
      <w:tabs>
        <w:tab w:val="left" w:pos="851"/>
      </w:tabs>
      <w:ind w:left="851" w:hanging="851"/>
    </w:pPr>
    <w:rPr>
      <w:color w:val="000000"/>
    </w:rPr>
  </w:style>
  <w:style w:type="paragraph" w:styleId="TOC7">
    <w:name w:val="toc 7"/>
    <w:basedOn w:val="Normal"/>
    <w:next w:val="Normal"/>
    <w:autoRedefine/>
    <w:uiPriority w:val="2"/>
    <w:semiHidden/>
    <w:rsid w:val="002A0ABA"/>
    <w:pPr>
      <w:ind w:left="1200"/>
    </w:pPr>
  </w:style>
  <w:style w:type="paragraph" w:styleId="TOC8">
    <w:name w:val="toc 8"/>
    <w:basedOn w:val="Normal"/>
    <w:next w:val="Normal"/>
    <w:autoRedefine/>
    <w:uiPriority w:val="2"/>
    <w:semiHidden/>
    <w:rsid w:val="002A0ABA"/>
    <w:pPr>
      <w:ind w:left="1400"/>
    </w:pPr>
  </w:style>
  <w:style w:type="paragraph" w:styleId="TOC9">
    <w:name w:val="toc 9"/>
    <w:basedOn w:val="Normal"/>
    <w:next w:val="Normal"/>
    <w:autoRedefine/>
    <w:uiPriority w:val="2"/>
    <w:semiHidden/>
    <w:rsid w:val="002A0ABA"/>
    <w:pPr>
      <w:ind w:left="1600"/>
    </w:pPr>
  </w:style>
  <w:style w:type="paragraph" w:customStyle="1" w:styleId="TPHeading1">
    <w:name w:val="TP Heading 1"/>
    <w:basedOn w:val="HeadingBase"/>
    <w:semiHidden/>
    <w:rsid w:val="002A0ABA"/>
    <w:pPr>
      <w:spacing w:before="60" w:after="60"/>
      <w:ind w:left="1134"/>
    </w:pPr>
    <w:rPr>
      <w:rFonts w:ascii="Arial Bold" w:hAnsi="Arial Bold"/>
      <w:b/>
      <w:caps/>
      <w:spacing w:val="-10"/>
      <w:sz w:val="28"/>
    </w:rPr>
  </w:style>
  <w:style w:type="paragraph" w:customStyle="1" w:styleId="TPHeading2">
    <w:name w:val="TP Heading 2"/>
    <w:basedOn w:val="HeadingBase"/>
    <w:semiHidden/>
    <w:rsid w:val="002A0ABA"/>
    <w:pPr>
      <w:ind w:left="1134"/>
    </w:pPr>
    <w:rPr>
      <w:caps/>
      <w:spacing w:val="-10"/>
      <w:sz w:val="28"/>
    </w:rPr>
  </w:style>
  <w:style w:type="paragraph" w:customStyle="1" w:styleId="TPHeading3">
    <w:name w:val="TP Heading 3"/>
    <w:basedOn w:val="HeadingBase"/>
    <w:semiHidden/>
    <w:rsid w:val="002A0ABA"/>
    <w:pPr>
      <w:ind w:left="1134"/>
    </w:pPr>
    <w:rPr>
      <w:caps/>
      <w:spacing w:val="-10"/>
    </w:rPr>
  </w:style>
  <w:style w:type="paragraph" w:customStyle="1" w:styleId="TPHeading3bold">
    <w:name w:val="TP Heading 3 bold"/>
    <w:basedOn w:val="TPHeading3"/>
    <w:semiHidden/>
    <w:rsid w:val="002A0ABA"/>
    <w:rPr>
      <w:rFonts w:cs="Arial"/>
      <w:b/>
      <w:sz w:val="22"/>
      <w:szCs w:val="22"/>
    </w:rPr>
  </w:style>
  <w:style w:type="paragraph" w:customStyle="1" w:styleId="TPHEADING3boldspace">
    <w:name w:val="TP HEADING 3 bold space"/>
    <w:basedOn w:val="TPHeading3bold"/>
    <w:semiHidden/>
    <w:rsid w:val="002A0ABA"/>
    <w:pPr>
      <w:spacing w:after="120"/>
    </w:pPr>
  </w:style>
  <w:style w:type="paragraph" w:customStyle="1" w:styleId="TPHEADING3space">
    <w:name w:val="TP HEADING 3 space"/>
    <w:basedOn w:val="TPHeading3"/>
    <w:semiHidden/>
    <w:rsid w:val="002A0ABA"/>
    <w:pPr>
      <w:spacing w:before="120" w:after="120"/>
    </w:pPr>
    <w:rPr>
      <w:rFonts w:cs="Arial"/>
      <w:sz w:val="22"/>
      <w:szCs w:val="22"/>
    </w:rPr>
  </w:style>
  <w:style w:type="paragraph" w:customStyle="1" w:styleId="TPHeading4">
    <w:name w:val="TP Heading 4"/>
    <w:basedOn w:val="TPHeading3"/>
    <w:semiHidden/>
    <w:rsid w:val="002A0ABA"/>
    <w:rPr>
      <w:sz w:val="20"/>
    </w:rPr>
  </w:style>
  <w:style w:type="paragraph" w:customStyle="1" w:styleId="TPHEADING4space">
    <w:name w:val="TP HEADING 4 space"/>
    <w:basedOn w:val="TPHEADING3space"/>
    <w:semiHidden/>
    <w:rsid w:val="002A0ABA"/>
  </w:style>
  <w:style w:type="paragraph" w:customStyle="1" w:styleId="Boxcontinuedover">
    <w:name w:val="Box continued over"/>
    <w:basedOn w:val="BoxText"/>
    <w:qFormat/>
    <w:rsid w:val="00D12B4D"/>
    <w:pPr>
      <w:spacing w:before="240" w:after="0"/>
      <w:jc w:val="right"/>
    </w:pPr>
    <w:rPr>
      <w:rFonts w:ascii="Arial" w:hAnsi="Arial"/>
      <w:b/>
      <w:bCs/>
      <w:sz w:val="18"/>
      <w:szCs w:val="16"/>
    </w:rPr>
  </w:style>
  <w:style w:type="character" w:customStyle="1" w:styleId="TOC2Char">
    <w:name w:val="TOC 2 Char"/>
    <w:link w:val="TOC2"/>
    <w:uiPriority w:val="2"/>
    <w:rsid w:val="00EF749B"/>
    <w:rPr>
      <w:rFonts w:ascii="Arial" w:eastAsia="Times New Roman" w:hAnsi="Arial" w:cs="Times New Roman"/>
      <w:sz w:val="18"/>
      <w:szCs w:val="20"/>
      <w:lang w:eastAsia="en-AU"/>
    </w:rPr>
  </w:style>
  <w:style w:type="paragraph" w:styleId="Revision">
    <w:name w:val="Revision"/>
    <w:hidden/>
    <w:uiPriority w:val="99"/>
    <w:semiHidden/>
    <w:rsid w:val="00221B36"/>
    <w:pPr>
      <w:spacing w:after="0" w:line="240" w:lineRule="auto"/>
    </w:pPr>
    <w:rPr>
      <w:rFonts w:ascii="Book Antiqua" w:eastAsia="Times New Roman" w:hAnsi="Book Antiqua" w:cs="Times New Roman"/>
      <w:sz w:val="20"/>
      <w:szCs w:val="20"/>
      <w:lang w:eastAsia="en-AU"/>
    </w:rPr>
  </w:style>
  <w:style w:type="character" w:customStyle="1" w:styleId="Heading9Char">
    <w:name w:val="Heading 9 Char"/>
    <w:basedOn w:val="DefaultParagraphFont"/>
    <w:link w:val="Heading9"/>
    <w:uiPriority w:val="9"/>
    <w:rsid w:val="002A0ABA"/>
    <w:rPr>
      <w:rFonts w:ascii="Cambria" w:eastAsia="Times New Roman" w:hAnsi="Cambria" w:cs="Times New Roman"/>
      <w:lang w:eastAsia="en-AU"/>
    </w:rPr>
  </w:style>
  <w:style w:type="paragraph" w:customStyle="1" w:styleId="Box-continuedon">
    <w:name w:val="Box - continued on"/>
    <w:basedOn w:val="Normal"/>
    <w:qFormat/>
    <w:rsid w:val="002A0ABA"/>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2A0ABA"/>
    <w:rPr>
      <w:sz w:val="16"/>
    </w:rPr>
  </w:style>
  <w:style w:type="paragraph" w:customStyle="1" w:styleId="BoxHeading2">
    <w:name w:val="Box Heading 2"/>
    <w:basedOn w:val="BoxHeading"/>
    <w:autoRedefine/>
    <w:rsid w:val="002A0ABA"/>
    <w:pPr>
      <w:spacing w:after="0"/>
    </w:pPr>
    <w:rPr>
      <w:b w:val="0"/>
      <w:bCs/>
      <w:szCs w:val="14"/>
    </w:rPr>
  </w:style>
  <w:style w:type="paragraph" w:customStyle="1" w:styleId="ChartLine">
    <w:name w:val="Chart Line"/>
    <w:basedOn w:val="Normal"/>
    <w:autoRedefine/>
    <w:qFormat/>
    <w:rsid w:val="002A0ABA"/>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2A0ABA"/>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2A0ABA"/>
    <w:pPr>
      <w:jc w:val="both"/>
    </w:pPr>
    <w:rPr>
      <w:rFonts w:ascii="Book Antiqua" w:hAnsi="Book Antiqua"/>
      <w:sz w:val="2"/>
    </w:rPr>
  </w:style>
  <w:style w:type="paragraph" w:customStyle="1" w:styleId="Heading1-Statement">
    <w:name w:val="Heading 1 - Statement"/>
    <w:basedOn w:val="Heading1"/>
    <w:next w:val="Normal"/>
    <w:autoRedefine/>
    <w:qFormat/>
    <w:rsid w:val="002A0ABA"/>
    <w:rPr>
      <w:bCs/>
      <w:color w:val="002B54"/>
      <w:szCs w:val="52"/>
    </w:rPr>
  </w:style>
  <w:style w:type="character" w:styleId="Strong">
    <w:name w:val="Strong"/>
    <w:basedOn w:val="DefaultParagraphFont"/>
    <w:uiPriority w:val="22"/>
    <w:qFormat/>
    <w:rsid w:val="00D36916"/>
    <w:rPr>
      <w:b/>
      <w:bCs/>
      <w:color w:val="auto"/>
    </w:rPr>
  </w:style>
  <w:style w:type="paragraph" w:customStyle="1" w:styleId="TableLine">
    <w:name w:val="Table Line"/>
    <w:basedOn w:val="Normal"/>
    <w:next w:val="Normal"/>
    <w:autoRedefine/>
    <w:rsid w:val="002A0ABA"/>
    <w:pPr>
      <w:pBdr>
        <w:bottom w:val="single" w:sz="4" w:space="2" w:color="626A77" w:themeColor="background2" w:themeShade="E6"/>
      </w:pBdr>
      <w:spacing w:before="0" w:line="240" w:lineRule="auto"/>
    </w:pPr>
    <w:rPr>
      <w:noProof/>
      <w:sz w:val="4"/>
      <w:szCs w:val="4"/>
    </w:rPr>
  </w:style>
  <w:style w:type="character" w:styleId="UnresolvedMention">
    <w:name w:val="Unresolved Mention"/>
    <w:basedOn w:val="DefaultParagraphFont"/>
    <w:uiPriority w:val="99"/>
    <w:semiHidden/>
    <w:unhideWhenUsed/>
    <w:rsid w:val="001F3F7B"/>
    <w:rPr>
      <w:color w:val="605E5C"/>
      <w:shd w:val="clear" w:color="auto" w:fill="E1DFDD"/>
    </w:rPr>
  </w:style>
  <w:style w:type="paragraph" w:styleId="NormalWeb">
    <w:name w:val="Normal (Web)"/>
    <w:basedOn w:val="Normal"/>
    <w:uiPriority w:val="99"/>
    <w:semiHidden/>
    <w:unhideWhenUsed/>
    <w:rsid w:val="00684D0B"/>
    <w:rPr>
      <w:rFonts w:ascii="Times New Roman" w:hAnsi="Times New Roman"/>
      <w:sz w:val="24"/>
      <w:szCs w:val="24"/>
    </w:rPr>
  </w:style>
  <w:style w:type="paragraph" w:customStyle="1" w:styleId="Halftitle">
    <w:name w:val="Half title"/>
    <w:basedOn w:val="Normal"/>
    <w:semiHidden/>
    <w:qFormat/>
    <w:rsid w:val="007B0EA8"/>
    <w:pPr>
      <w:spacing w:before="0" w:after="60" w:line="240" w:lineRule="auto"/>
      <w:jc w:val="both"/>
    </w:pPr>
    <w:rPr>
      <w:rFonts w:eastAsia="SimSun"/>
      <w:sz w:val="18"/>
      <w:lang w:eastAsia="zh-CN"/>
    </w:rPr>
  </w:style>
  <w:style w:type="character" w:customStyle="1" w:styleId="A5">
    <w:name w:val="A5"/>
    <w:uiPriority w:val="99"/>
    <w:rsid w:val="007B0EA8"/>
    <w:rPr>
      <w:rFonts w:cs="Swiss 721 BT"/>
      <w:color w:val="000000"/>
      <w:sz w:val="20"/>
      <w:szCs w:val="20"/>
    </w:rPr>
  </w:style>
  <w:style w:type="paragraph" w:customStyle="1" w:styleId="CreativeCommons">
    <w:name w:val="Creative Commons"/>
    <w:basedOn w:val="Normal"/>
    <w:qFormat/>
    <w:rsid w:val="007B0EA8"/>
    <w:pPr>
      <w:spacing w:before="0" w:after="120" w:line="240" w:lineRule="auto"/>
    </w:pPr>
    <w:rPr>
      <w:rFonts w:cs="Calibri"/>
      <w:color w:val="000000"/>
    </w:rPr>
  </w:style>
  <w:style w:type="paragraph" w:customStyle="1" w:styleId="CreativeCommonsH1">
    <w:name w:val="Creative Commons H1"/>
    <w:basedOn w:val="CreativeCommons"/>
    <w:qFormat/>
    <w:rsid w:val="00D5320C"/>
    <w:pPr>
      <w:spacing w:before="220"/>
    </w:pPr>
    <w:rPr>
      <w:b/>
      <w:bCs/>
    </w:rPr>
  </w:style>
  <w:style w:type="character" w:styleId="Emphasis">
    <w:name w:val="Emphasis"/>
    <w:basedOn w:val="DefaultParagraphFont"/>
    <w:uiPriority w:val="20"/>
    <w:qFormat/>
    <w:rsid w:val="00477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legalcode" TargetMode="External"/><Relationship Id="rId18" Type="http://schemas.openxmlformats.org/officeDocument/2006/relationships/hyperlink" Target="http://www.budget.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yperlink" Target="mailto:media@treasury.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pmc.gov.au/honours-and-symbols/commonwealth-coat-arms"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f61a0fd77f3028391fc35724df5d030b">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442c9afdaa660bc81406e92f0e3a1308"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MudmapEVID xmlns="9115ddca-c623-419f-a3c0-6a1c58c4dac8" xsi:nil="true"/>
    <LetterID xmlns="9115ddca-c623-419f-a3c0-6a1c58c4d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FA44-FC46-4230-84D0-E37ED4C48312}">
  <ds:schemaRefs>
    <ds:schemaRef ds:uri="http://schemas.microsoft.com/sharepoint/v3/contenttype/forms"/>
  </ds:schemaRefs>
</ds:datastoreItem>
</file>

<file path=customXml/itemProps2.xml><?xml version="1.0" encoding="utf-8"?>
<ds:datastoreItem xmlns:ds="http://schemas.openxmlformats.org/officeDocument/2006/customXml" ds:itemID="{5F877F78-D738-4A75-A453-5D4C45B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85D9B-26B8-4FE8-ADCD-7E22D3E6BA7B}">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244fe85f-b655-4145-9b20-543b75dc1c24"/>
    <ds:schemaRef ds:uri="9115ddca-c623-419f-a3c0-6a1c58c4dac8"/>
    <ds:schemaRef ds:uri="http://www.w3.org/XML/1998/namespace"/>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FBO Template.dotm</Template>
  <TotalTime>2</TotalTime>
  <Pages>7</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Final Budget Outcome 2023–24</vt:lpstr>
    </vt:vector>
  </TitlesOfParts>
  <Company>Australian Government - The Treasury</Company>
  <LinksUpToDate>false</LinksUpToDate>
  <CharactersWithSpaces>6996</CharactersWithSpaces>
  <SharedDoc>false</SharedDoc>
  <HLinks>
    <vt:vector size="36" baseType="variant">
      <vt:variant>
        <vt:i4>5374022</vt:i4>
      </vt:variant>
      <vt:variant>
        <vt:i4>15</vt:i4>
      </vt:variant>
      <vt:variant>
        <vt:i4>0</vt:i4>
      </vt:variant>
      <vt:variant>
        <vt:i4>5</vt:i4>
      </vt:variant>
      <vt:variant>
        <vt:lpwstr>http://www.budget.gov.au/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2023–24</dc:title>
  <dc:subject>Preliminaries</dc:subject>
  <dc:creator>Australian Government</dc:creator>
  <cp:keywords/>
  <dc:description/>
  <cp:lastModifiedBy>Deonath, Asavari</cp:lastModifiedBy>
  <cp:revision>2</cp:revision>
  <cp:lastPrinted>2024-09-25T22:52:00Z</cp:lastPrinted>
  <dcterms:created xsi:type="dcterms:W3CDTF">2024-09-26T05:50:00Z</dcterms:created>
  <dcterms:modified xsi:type="dcterms:W3CDTF">2024-09-26T05:50:00Z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ClassificationContentMarkingHeaderShapeIds">
    <vt:lpwstr>1,3,5,6,7,8,9,c,d</vt:lpwstr>
  </property>
  <property fmtid="{D5CDD505-2E9C-101B-9397-08002B2CF9AE}" pid="7" name="ClassificationContentMarkingHeaderFontProps">
    <vt:lpwstr>#ff0000,12,Calibri</vt:lpwstr>
  </property>
  <property fmtid="{D5CDD505-2E9C-101B-9397-08002B2CF9AE}" pid="8" name="ClassificationContentMarkingHeaderText">
    <vt:lpwstr>OFFICIAL: Sensitive</vt:lpwstr>
  </property>
  <property fmtid="{D5CDD505-2E9C-101B-9397-08002B2CF9AE}" pid="9" name="ClassificationContentMarkingFooterShapeIds">
    <vt:lpwstr>10,11,12,13,15,16,17,18,19</vt:lpwstr>
  </property>
  <property fmtid="{D5CDD505-2E9C-101B-9397-08002B2CF9AE}" pid="10" name="ClassificationContentMarkingFooterFontProps">
    <vt:lpwstr>#ff0000,12,Calibri</vt:lpwstr>
  </property>
  <property fmtid="{D5CDD505-2E9C-101B-9397-08002B2CF9AE}" pid="11" name="ClassificationContentMarkingFooterText">
    <vt:lpwstr>OFFICIAL: Sensitive</vt:lpwstr>
  </property>
  <property fmtid="{D5CDD505-2E9C-101B-9397-08002B2CF9AE}" pid="12" name="MSIP_Label_4f932d64-9ab1-4d9b-81d2-a3a8b82dd47d_Enabled">
    <vt:lpwstr>true</vt:lpwstr>
  </property>
  <property fmtid="{D5CDD505-2E9C-101B-9397-08002B2CF9AE}" pid="13" name="MSIP_Label_4f932d64-9ab1-4d9b-81d2-a3a8b82dd47d_SetDate">
    <vt:lpwstr>2024-09-25T01:36:34Z</vt:lpwstr>
  </property>
  <property fmtid="{D5CDD505-2E9C-101B-9397-08002B2CF9AE}" pid="14" name="MSIP_Label_4f932d64-9ab1-4d9b-81d2-a3a8b82dd47d_Method">
    <vt:lpwstr>Privileged</vt:lpwstr>
  </property>
  <property fmtid="{D5CDD505-2E9C-101B-9397-08002B2CF9AE}" pid="15" name="MSIP_Label_4f932d64-9ab1-4d9b-81d2-a3a8b82dd47d_Name">
    <vt:lpwstr>OFFICIAL No Visual Marking</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ActionId">
    <vt:lpwstr>6bb45ce5-7f1a-40cc-9f60-b77f1a389a4c</vt:lpwstr>
  </property>
  <property fmtid="{D5CDD505-2E9C-101B-9397-08002B2CF9AE}" pid="18" name="MSIP_Label_4f932d64-9ab1-4d9b-81d2-a3a8b82dd47d_ContentBits">
    <vt:lpwstr>0</vt:lpwstr>
  </property>
</Properties>
</file>